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1806"/>
        <w:gridCol w:w="3663"/>
      </w:tblGrid>
      <w:tr w:rsidR="00284E2C" w:rsidRPr="009F26DC" w:rsidTr="0034464A">
        <w:trPr>
          <w:jc w:val="center"/>
        </w:trPr>
        <w:tc>
          <w:tcPr>
            <w:tcW w:w="1298" w:type="dxa"/>
          </w:tcPr>
          <w:p w:rsidR="00284E2C" w:rsidRPr="009F26DC" w:rsidRDefault="00751D2B" w:rsidP="009F26DC">
            <w:pPr>
              <w:jc w:val="right"/>
              <w:rPr>
                <w:rFonts w:cs="Arial"/>
                <w:b/>
              </w:rPr>
            </w:pPr>
            <w:r>
              <w:rPr>
                <w:rFonts w:cs="Arial"/>
                <w:noProof/>
                <w:lang w:eastAsia="en-GB"/>
              </w:rPr>
              <w:drawing>
                <wp:inline distT="0" distB="0" distL="0" distR="0">
                  <wp:extent cx="981075" cy="981075"/>
                  <wp:effectExtent l="19050" t="0" r="9525"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5040C9" w:rsidRDefault="00284E2C" w:rsidP="00284E2C">
            <w:pPr>
              <w:rPr>
                <w:rFonts w:cs="Arial"/>
                <w:b/>
                <w:lang w:val="el-GR"/>
              </w:rPr>
            </w:pP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D269C" w:rsidRPr="007F2453" w:rsidRDefault="00DD269C" w:rsidP="00DD269C">
      <w:pPr>
        <w:pStyle w:val="Heading3"/>
        <w:numPr>
          <w:ilvl w:val="0"/>
          <w:numId w:val="0"/>
        </w:numPr>
        <w:spacing w:after="120"/>
        <w:ind w:left="110"/>
        <w:jc w:val="center"/>
        <w:rPr>
          <w:rFonts w:cs="Arial"/>
          <w:b/>
          <w:sz w:val="28"/>
          <w:szCs w:val="28"/>
          <w:lang w:val="el-GR"/>
        </w:rPr>
      </w:pPr>
      <w:r w:rsidRPr="00DD269C">
        <w:rPr>
          <w:rFonts w:cs="Arial"/>
          <w:b/>
          <w:sz w:val="28"/>
          <w:szCs w:val="28"/>
          <w:lang w:val="el-GR"/>
        </w:rPr>
        <w:t>ΠΡΟΓΡΑΜΜΑ ΕΜΒΑΘΥΝΣΗΣ ΣΕ ΘΕΜΑΤΑ ΑΣΦΑΛΕΙΑΣ ΚΑΙ ΥΓΕΙΑΣ ΣΤΗΝ ΕΡΓΑΣΙΑ</w:t>
      </w:r>
    </w:p>
    <w:p w:rsidR="0070040C" w:rsidRPr="004641F7" w:rsidRDefault="0070040C" w:rsidP="0070040C">
      <w:pPr>
        <w:jc w:val="center"/>
        <w:rPr>
          <w:rFonts w:cs="Arial"/>
          <w:b/>
          <w:sz w:val="28"/>
          <w:szCs w:val="28"/>
          <w:u w:val="single"/>
          <w:lang w:val="el-GR"/>
        </w:rPr>
      </w:pPr>
      <w:r w:rsidRPr="004641F7">
        <w:rPr>
          <w:rFonts w:cs="Arial"/>
          <w:b/>
          <w:sz w:val="28"/>
          <w:szCs w:val="28"/>
          <w:u w:val="single"/>
          <w:lang w:val="el-GR"/>
        </w:rPr>
        <w:t>Επαγγελματική και Ψυχική Υγεία</w:t>
      </w:r>
    </w:p>
    <w:p w:rsidR="00DD269C" w:rsidRPr="007F2453" w:rsidRDefault="00DD269C" w:rsidP="00DD269C">
      <w:pPr>
        <w:rPr>
          <w:lang w:val="el-GR"/>
        </w:rPr>
      </w:pPr>
    </w:p>
    <w:p w:rsidR="00DC418D" w:rsidRPr="007F2453" w:rsidRDefault="00DD269C" w:rsidP="00DD269C">
      <w:pPr>
        <w:spacing w:after="120"/>
        <w:ind w:right="-6"/>
        <w:jc w:val="center"/>
        <w:rPr>
          <w:rFonts w:cs="Arial"/>
          <w:b/>
          <w:sz w:val="24"/>
          <w:szCs w:val="24"/>
          <w:lang w:val="el-GR"/>
        </w:rPr>
      </w:pPr>
      <w:r w:rsidRPr="00993E01">
        <w:rPr>
          <w:rFonts w:cs="Arial"/>
          <w:b/>
          <w:sz w:val="24"/>
          <w:szCs w:val="24"/>
          <w:lang w:val="el-GR"/>
        </w:rPr>
        <w:t xml:space="preserve"> </w:t>
      </w:r>
      <w:r w:rsidR="00DC418D" w:rsidRPr="00993E01">
        <w:rPr>
          <w:rFonts w:cs="Arial"/>
          <w:b/>
          <w:sz w:val="24"/>
          <w:szCs w:val="24"/>
          <w:lang w:val="el-GR"/>
        </w:rPr>
        <w:t>(</w:t>
      </w:r>
      <w:r>
        <w:rPr>
          <w:rFonts w:cs="Arial"/>
          <w:b/>
          <w:sz w:val="24"/>
          <w:szCs w:val="24"/>
        </w:rPr>
        <w:t>HBO</w:t>
      </w:r>
      <w:r w:rsidR="00916B97">
        <w:rPr>
          <w:rFonts w:cs="Arial"/>
          <w:b/>
          <w:sz w:val="24"/>
          <w:szCs w:val="24"/>
          <w:lang w:val="el-GR"/>
        </w:rPr>
        <w:t>302</w:t>
      </w:r>
      <w:bookmarkStart w:id="0" w:name="_GoBack"/>
      <w:bookmarkEnd w:id="0"/>
      <w:r w:rsidR="00DC418D"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E03EC9" w:rsidTr="00A5476E">
        <w:trPr>
          <w:trHeight w:val="43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746D66" w:rsidRDefault="00947FA8" w:rsidP="00947FA8">
            <w:pPr>
              <w:tabs>
                <w:tab w:val="left" w:pos="2127"/>
              </w:tabs>
              <w:ind w:right="-5"/>
              <w:rPr>
                <w:rFonts w:cs="Arial"/>
                <w:b/>
                <w:lang w:val="en-US"/>
              </w:rPr>
            </w:pPr>
            <w:r>
              <w:rPr>
                <w:rFonts w:cs="Arial"/>
                <w:b/>
                <w:lang w:val="en-US"/>
              </w:rPr>
              <w:t>16</w:t>
            </w:r>
            <w:r w:rsidR="00DC418D" w:rsidRPr="002B1854">
              <w:rPr>
                <w:rFonts w:cs="Arial"/>
                <w:b/>
                <w:lang w:val="el-GR"/>
              </w:rPr>
              <w:t>.</w:t>
            </w:r>
            <w:r w:rsidR="00FC5294" w:rsidRPr="00E03EC9">
              <w:rPr>
                <w:rFonts w:cs="Arial"/>
                <w:b/>
                <w:lang w:val="el-GR"/>
              </w:rPr>
              <w:t>3</w:t>
            </w:r>
            <w:r w:rsidR="00DC418D" w:rsidRPr="002B1854">
              <w:rPr>
                <w:rFonts w:cs="Arial"/>
                <w:b/>
                <w:lang w:val="el-GR"/>
              </w:rPr>
              <w:t>.20</w:t>
            </w:r>
            <w:r w:rsidR="002C183B" w:rsidRPr="00E03EC9">
              <w:rPr>
                <w:rFonts w:cs="Arial"/>
                <w:b/>
                <w:lang w:val="el-GR"/>
              </w:rPr>
              <w:t>2</w:t>
            </w:r>
            <w:r>
              <w:rPr>
                <w:rFonts w:cs="Arial"/>
                <w:b/>
                <w:lang w:val="en-US"/>
              </w:rPr>
              <w:t>3</w:t>
            </w:r>
            <w:r w:rsidR="00DC418D" w:rsidRPr="002B1854">
              <w:rPr>
                <w:rFonts w:cs="Arial"/>
                <w:b/>
                <w:lang w:val="el-GR"/>
              </w:rPr>
              <w:t xml:space="preserve">  –  </w:t>
            </w:r>
            <w:r>
              <w:rPr>
                <w:rFonts w:cs="Arial"/>
                <w:b/>
                <w:lang w:val="en-US"/>
              </w:rPr>
              <w:t>30</w:t>
            </w:r>
            <w:r w:rsidR="00E03EC9" w:rsidRPr="00E03EC9">
              <w:rPr>
                <w:rFonts w:cs="Arial"/>
                <w:b/>
                <w:lang w:val="el-GR"/>
              </w:rPr>
              <w:t>.</w:t>
            </w:r>
            <w:r w:rsidR="00746D66">
              <w:rPr>
                <w:rFonts w:cs="Arial"/>
                <w:b/>
                <w:lang w:val="en-US"/>
              </w:rPr>
              <w:t>3</w:t>
            </w:r>
            <w:r w:rsidR="00DC418D" w:rsidRPr="002B1854">
              <w:rPr>
                <w:rFonts w:cs="Arial"/>
                <w:b/>
                <w:lang w:val="el-GR"/>
              </w:rPr>
              <w:t>.20</w:t>
            </w:r>
            <w:r w:rsidR="002C183B" w:rsidRPr="00E03EC9">
              <w:rPr>
                <w:rFonts w:cs="Arial"/>
                <w:b/>
                <w:lang w:val="el-GR"/>
              </w:rPr>
              <w:t>2</w:t>
            </w:r>
            <w:r>
              <w:rPr>
                <w:rFonts w:cs="Arial"/>
                <w:b/>
                <w:lang w:val="en-US"/>
              </w:rPr>
              <w:t>3</w:t>
            </w:r>
          </w:p>
        </w:tc>
      </w:tr>
      <w:tr w:rsidR="00DC418D" w:rsidRPr="00916B97"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DD269C" w:rsidP="009F26DC">
            <w:pPr>
              <w:tabs>
                <w:tab w:val="left" w:pos="2127"/>
              </w:tabs>
              <w:ind w:right="-5"/>
              <w:rPr>
                <w:rFonts w:cs="Arial"/>
                <w:lang w:val="el-GR"/>
              </w:rPr>
            </w:pPr>
            <w:r>
              <w:rPr>
                <w:rFonts w:cs="Arial"/>
                <w:lang w:val="el-GR"/>
              </w:rPr>
              <w:t xml:space="preserve">Εργαστήρια ΚΕΠΑ Λεμεσού, Ελπίδος 1, 4102 </w:t>
            </w:r>
            <w:proofErr w:type="spellStart"/>
            <w:r>
              <w:rPr>
                <w:rFonts w:cs="Arial"/>
                <w:lang w:val="el-GR"/>
              </w:rPr>
              <w:t>Λινόπετρα</w:t>
            </w:r>
            <w:proofErr w:type="spellEnd"/>
            <w:r w:rsidR="00DC418D" w:rsidRPr="00993E01">
              <w:rPr>
                <w:rFonts w:cs="Arial"/>
                <w:color w:val="000000"/>
                <w:lang w:val="el-GR"/>
              </w:rPr>
              <w:t>.</w:t>
            </w:r>
          </w:p>
        </w:tc>
      </w:tr>
      <w:tr w:rsidR="00DC418D" w:rsidRPr="00916B97"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072CF1" w:rsidRPr="00072CF1" w:rsidRDefault="00DD269C" w:rsidP="00DD269C">
            <w:pPr>
              <w:tabs>
                <w:tab w:val="left" w:pos="2127"/>
              </w:tabs>
              <w:ind w:right="-5"/>
              <w:rPr>
                <w:rFonts w:cs="Arial"/>
                <w:sz w:val="20"/>
                <w:lang w:val="el-GR"/>
              </w:rPr>
            </w:pPr>
            <w:r>
              <w:rPr>
                <w:rFonts w:cs="Arial"/>
                <w:lang w:val="el-GR"/>
              </w:rPr>
              <w:t>Γιαννάκης Ιωάννου</w:t>
            </w:r>
            <w:r w:rsidR="00072CF1" w:rsidRPr="00072CF1">
              <w:rPr>
                <w:rFonts w:cs="Arial"/>
                <w:lang w:val="el-GR"/>
              </w:rPr>
              <w:t>,</w:t>
            </w:r>
            <w:r w:rsidR="00072CF1" w:rsidRPr="00EF3281">
              <w:rPr>
                <w:rFonts w:cs="Arial"/>
                <w:lang w:val="el-GR"/>
              </w:rPr>
              <w:t xml:space="preserve"> </w:t>
            </w:r>
            <w:proofErr w:type="spellStart"/>
            <w:r w:rsidR="00144A8D" w:rsidRPr="00144A8D">
              <w:rPr>
                <w:rFonts w:cs="Arial"/>
                <w:sz w:val="20"/>
                <w:lang w:val="el-GR"/>
              </w:rPr>
              <w:t>Τηλ</w:t>
            </w:r>
            <w:proofErr w:type="spellEnd"/>
            <w:r w:rsidR="00144A8D" w:rsidRPr="007F2453">
              <w:rPr>
                <w:rFonts w:cs="Arial"/>
                <w:sz w:val="20"/>
                <w:lang w:val="el-GR"/>
              </w:rPr>
              <w:t xml:space="preserve">.: </w:t>
            </w:r>
            <w:r w:rsidRPr="007F2453">
              <w:rPr>
                <w:rFonts w:cs="Arial"/>
                <w:sz w:val="20"/>
                <w:lang w:val="el-GR"/>
              </w:rPr>
              <w:t>25 873588</w:t>
            </w:r>
            <w:r w:rsidR="00144A8D" w:rsidRPr="007F2453">
              <w:rPr>
                <w:rFonts w:cs="Arial"/>
                <w:sz w:val="20"/>
                <w:lang w:val="el-GR"/>
              </w:rPr>
              <w:t xml:space="preserve">, </w:t>
            </w:r>
            <w:r w:rsidR="00144A8D" w:rsidRPr="00144A8D">
              <w:rPr>
                <w:rFonts w:cs="Arial"/>
                <w:sz w:val="20"/>
                <w:lang w:val="el-GR"/>
              </w:rPr>
              <w:t>Φαξ</w:t>
            </w:r>
            <w:r w:rsidR="00144A8D" w:rsidRPr="007F2453">
              <w:rPr>
                <w:rFonts w:cs="Arial"/>
                <w:sz w:val="20"/>
                <w:lang w:val="el-GR"/>
              </w:rPr>
              <w:t xml:space="preserve">: </w:t>
            </w:r>
            <w:r w:rsidRPr="007F2453">
              <w:rPr>
                <w:rFonts w:cs="Arial"/>
                <w:sz w:val="20"/>
                <w:lang w:val="el-GR"/>
              </w:rPr>
              <w:t>25 313650</w:t>
            </w:r>
            <w:r w:rsidR="00144A8D" w:rsidRPr="007F2453">
              <w:rPr>
                <w:rFonts w:cs="Arial"/>
                <w:sz w:val="20"/>
                <w:lang w:val="el-GR"/>
              </w:rPr>
              <w:t xml:space="preserve">, </w:t>
            </w:r>
          </w:p>
          <w:p w:rsidR="00A5476E" w:rsidRPr="00072CF1" w:rsidRDefault="00144A8D" w:rsidP="00DD269C">
            <w:pPr>
              <w:tabs>
                <w:tab w:val="left" w:pos="2127"/>
              </w:tabs>
              <w:ind w:right="-5"/>
              <w:rPr>
                <w:rFonts w:cs="Arial"/>
                <w:sz w:val="20"/>
                <w:lang w:val="el-GR"/>
              </w:rPr>
            </w:pPr>
            <w:r w:rsidRPr="00DD269C">
              <w:rPr>
                <w:rFonts w:cs="Arial"/>
                <w:sz w:val="20"/>
                <w:lang w:val="en-US"/>
              </w:rPr>
              <w:t>Email</w:t>
            </w:r>
            <w:r w:rsidRPr="00072CF1">
              <w:rPr>
                <w:rFonts w:cs="Arial"/>
                <w:sz w:val="20"/>
                <w:lang w:val="el-GR"/>
              </w:rPr>
              <w:t xml:space="preserve">: </w:t>
            </w:r>
            <w:hyperlink r:id="rId9" w:history="1">
              <w:r w:rsidR="00DD269C" w:rsidRPr="00960F44">
                <w:rPr>
                  <w:rStyle w:val="Hyperlink"/>
                  <w:rFonts w:cs="Arial"/>
                  <w:sz w:val="20"/>
                  <w:lang w:val="en-US"/>
                </w:rPr>
                <w:t>yioannou</w:t>
              </w:r>
              <w:r w:rsidR="00DD269C" w:rsidRPr="00072CF1">
                <w:rPr>
                  <w:rStyle w:val="Hyperlink"/>
                  <w:rFonts w:cs="Arial"/>
                  <w:sz w:val="20"/>
                  <w:lang w:val="el-GR"/>
                </w:rPr>
                <w:t>@</w:t>
              </w:r>
              <w:r w:rsidR="00DD269C" w:rsidRPr="00960F44">
                <w:rPr>
                  <w:rStyle w:val="Hyperlink"/>
                  <w:rFonts w:cs="Arial"/>
                  <w:sz w:val="20"/>
                  <w:lang w:val="en-US"/>
                </w:rPr>
                <w:t>kepa</w:t>
              </w:r>
              <w:r w:rsidR="00DD269C" w:rsidRPr="00072CF1">
                <w:rPr>
                  <w:rStyle w:val="Hyperlink"/>
                  <w:rFonts w:cs="Arial"/>
                  <w:sz w:val="20"/>
                  <w:lang w:val="el-GR"/>
                </w:rPr>
                <w:t>.</w:t>
              </w:r>
              <w:r w:rsidR="00DD269C" w:rsidRPr="00960F44">
                <w:rPr>
                  <w:rStyle w:val="Hyperlink"/>
                  <w:rFonts w:cs="Arial"/>
                  <w:sz w:val="20"/>
                  <w:lang w:val="en-US"/>
                </w:rPr>
                <w:t>mlsi</w:t>
              </w:r>
              <w:r w:rsidR="00DD269C" w:rsidRPr="00072CF1">
                <w:rPr>
                  <w:rStyle w:val="Hyperlink"/>
                  <w:rFonts w:cs="Arial"/>
                  <w:sz w:val="20"/>
                  <w:lang w:val="el-GR"/>
                </w:rPr>
                <w:t>.</w:t>
              </w:r>
              <w:r w:rsidR="00DD269C" w:rsidRPr="00960F44">
                <w:rPr>
                  <w:rStyle w:val="Hyperlink"/>
                  <w:rFonts w:cs="Arial"/>
                  <w:sz w:val="20"/>
                  <w:lang w:val="en-US"/>
                </w:rPr>
                <w:t>gov</w:t>
              </w:r>
              <w:r w:rsidR="00DD269C" w:rsidRPr="00072CF1">
                <w:rPr>
                  <w:rStyle w:val="Hyperlink"/>
                  <w:rFonts w:cs="Arial"/>
                  <w:sz w:val="20"/>
                  <w:lang w:val="el-GR"/>
                </w:rPr>
                <w:t>.</w:t>
              </w:r>
              <w:r w:rsidR="00DD269C" w:rsidRPr="00960F44">
                <w:rPr>
                  <w:rStyle w:val="Hyperlink"/>
                  <w:rFonts w:cs="Arial"/>
                  <w:sz w:val="20"/>
                  <w:lang w:val="en-US"/>
                </w:rPr>
                <w:t>cy</w:t>
              </w:r>
            </w:hyperlink>
          </w:p>
        </w:tc>
      </w:tr>
      <w:tr w:rsidR="00DC418D" w:rsidRPr="00916B97" w:rsidTr="005249AE">
        <w:trPr>
          <w:trHeight w:val="547"/>
        </w:trPr>
        <w:tc>
          <w:tcPr>
            <w:tcW w:w="3261" w:type="dxa"/>
            <w:gridSpan w:val="2"/>
            <w:vAlign w:val="center"/>
          </w:tcPr>
          <w:p w:rsidR="00DC418D" w:rsidRPr="00DD269C" w:rsidRDefault="00DC418D" w:rsidP="005E6E8A">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t xml:space="preserve"> €</w:t>
            </w:r>
            <w:r w:rsidR="005E6E8A">
              <w:rPr>
                <w:rFonts w:cs="Arial"/>
                <w:lang w:val="en-US"/>
              </w:rPr>
              <w:t>130</w:t>
            </w:r>
            <w:r w:rsidR="005D1239" w:rsidRPr="00FC5294">
              <w:rPr>
                <w:rFonts w:cs="Arial"/>
                <w:lang w:val="el-GR"/>
              </w:rPr>
              <w:t>,00</w:t>
            </w:r>
            <w:r w:rsidRPr="00993E01">
              <w:rPr>
                <w:rFonts w:cs="Arial"/>
                <w:lang w:val="el-GR"/>
              </w:rPr>
              <w:t xml:space="preserve"> 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DD269C">
              <w:rPr>
                <w:rFonts w:cs="Arial"/>
                <w:lang w:val="el-GR"/>
              </w:rPr>
              <w:t>:</w:t>
            </w:r>
          </w:p>
          <w:p w:rsidR="00DC418D" w:rsidRPr="00DD269C" w:rsidRDefault="00DC418D" w:rsidP="005E6E8A">
            <w:pPr>
              <w:tabs>
                <w:tab w:val="left" w:pos="2127"/>
              </w:tabs>
              <w:ind w:right="-5"/>
              <w:jc w:val="center"/>
              <w:rPr>
                <w:rFonts w:cs="Arial"/>
                <w:lang w:val="el-GR"/>
              </w:rPr>
            </w:pPr>
            <w:r w:rsidRPr="00993E01">
              <w:rPr>
                <w:rFonts w:cs="Arial"/>
                <w:lang w:val="el-GR"/>
              </w:rPr>
              <w:t>€</w:t>
            </w:r>
            <w:r w:rsidR="005E6E8A">
              <w:rPr>
                <w:rFonts w:cs="Arial"/>
                <w:lang w:val="en-US"/>
              </w:rPr>
              <w:t>104</w:t>
            </w:r>
            <w:r w:rsidR="005D1239" w:rsidRPr="00FC5294">
              <w:rPr>
                <w:rFonts w:cs="Arial"/>
                <w:lang w:val="el-GR"/>
              </w:rPr>
              <w:t>,00</w:t>
            </w:r>
            <w:r w:rsidRPr="00993E01">
              <w:rPr>
                <w:rFonts w:cs="Arial"/>
                <w:lang w:val="el-GR"/>
              </w:rPr>
              <w:t xml:space="preserve"> το άτομο</w:t>
            </w:r>
          </w:p>
        </w:tc>
        <w:tc>
          <w:tcPr>
            <w:tcW w:w="2976" w:type="dxa"/>
            <w:vAlign w:val="center"/>
          </w:tcPr>
          <w:p w:rsidR="00DC418D" w:rsidRPr="005040C9" w:rsidRDefault="00DC418D" w:rsidP="005E6E8A">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5E6E8A" w:rsidRPr="00E03EC9">
              <w:rPr>
                <w:rFonts w:cs="Arial"/>
                <w:lang w:val="el-GR"/>
              </w:rPr>
              <w:t>26</w:t>
            </w:r>
            <w:r w:rsidR="005D1239" w:rsidRPr="002B1854">
              <w:rPr>
                <w:rFonts w:cs="Arial"/>
                <w:lang w:val="el-GR"/>
              </w:rPr>
              <w:t>,00</w:t>
            </w:r>
            <w:r w:rsidRPr="00993E01">
              <w:rPr>
                <w:rFonts w:cs="Arial"/>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70040C" w:rsidRPr="0070040C" w:rsidRDefault="0070040C" w:rsidP="0070040C">
      <w:pPr>
        <w:jc w:val="both"/>
        <w:rPr>
          <w:rFonts w:cs="Arial"/>
          <w:sz w:val="20"/>
          <w:lang w:val="el-GR"/>
        </w:rPr>
      </w:pPr>
      <w:r w:rsidRPr="0070040C">
        <w:rPr>
          <w:rFonts w:cs="Arial"/>
          <w:sz w:val="20"/>
          <w:lang w:val="el-GR"/>
        </w:rPr>
        <w:t>Η νομική υποχρέωση του εργοδότη να παρέχει την απαιτούμενη κατάρτιση στα στελέχη της επιχείρησής  του αναφορικά με τους κυριότερους κινδύνους ασφάλεια και υγείας στην εργασία και τα μέτρα ελέγχου που πρέπει να εφαρμόζονται για την ελαχιστοποίηση των επιπτώσεων τους. Το πρόγραμμα καλύπτει συγκεκριμένες ενότητες της εκπαίδευσης συνολικής διάρκειας 130 ωρών που απαιτείται από το Τμήμα Επιθεώρησης Εργασίας για έγκριση Λειτουργού Ασφάλειας, αλλά αποτελεί και αυτόνομη εκπαίδευση για τις ομάδες ατόμων με αρμοδιότητα στα θέματα ασφάλειας και υγείας.</w:t>
      </w:r>
    </w:p>
    <w:p w:rsidR="00284E2C" w:rsidRPr="005040C9" w:rsidRDefault="00284E2C" w:rsidP="00E63145">
      <w:pPr>
        <w:spacing w:before="240" w:after="60"/>
        <w:rPr>
          <w:rFonts w:cs="Arial"/>
          <w:b/>
          <w:sz w:val="20"/>
          <w:lang w:val="el-GR"/>
        </w:rPr>
      </w:pPr>
      <w:r w:rsidRPr="005040C9">
        <w:rPr>
          <w:rFonts w:cs="Arial"/>
          <w:b/>
          <w:sz w:val="20"/>
          <w:lang w:val="el-GR"/>
        </w:rPr>
        <w:t>ΣΤΟΧΟΙ:</w:t>
      </w:r>
    </w:p>
    <w:p w:rsidR="0070040C" w:rsidRPr="0070040C" w:rsidRDefault="0070040C" w:rsidP="0070040C">
      <w:pPr>
        <w:jc w:val="both"/>
        <w:rPr>
          <w:rFonts w:cs="Arial"/>
          <w:sz w:val="20"/>
          <w:lang w:val="el-GR"/>
        </w:rPr>
      </w:pPr>
      <w:r w:rsidRPr="0070040C">
        <w:rPr>
          <w:rFonts w:cs="Arial"/>
          <w:sz w:val="20"/>
          <w:lang w:val="el-GR"/>
        </w:rPr>
        <w:t>Με το τέλος του προγράμματος οι συμμετέχοντες να είναι σε θέση:</w:t>
      </w:r>
    </w:p>
    <w:p w:rsidR="0070040C" w:rsidRPr="0070040C" w:rsidRDefault="0070040C" w:rsidP="0070040C">
      <w:pPr>
        <w:pStyle w:val="BodyText3"/>
        <w:numPr>
          <w:ilvl w:val="0"/>
          <w:numId w:val="7"/>
        </w:numPr>
        <w:spacing w:before="60" w:after="0" w:line="240" w:lineRule="auto"/>
        <w:rPr>
          <w:rFonts w:ascii="Arial" w:hAnsi="Arial" w:cs="Arial"/>
          <w:sz w:val="20"/>
          <w:szCs w:val="20"/>
        </w:rPr>
      </w:pPr>
      <w:r w:rsidRPr="0070040C">
        <w:rPr>
          <w:rFonts w:ascii="Arial" w:hAnsi="Arial" w:cs="Arial"/>
          <w:sz w:val="20"/>
          <w:szCs w:val="20"/>
        </w:rPr>
        <w:t xml:space="preserve">Να κατανοήσουν τις υποχρεώσεις των εργοδοτών αλλά και των </w:t>
      </w:r>
      <w:proofErr w:type="spellStart"/>
      <w:r w:rsidRPr="0070040C">
        <w:rPr>
          <w:rFonts w:ascii="Arial" w:hAnsi="Arial" w:cs="Arial"/>
          <w:sz w:val="20"/>
          <w:szCs w:val="20"/>
        </w:rPr>
        <w:t>εργοδοτουμένων</w:t>
      </w:r>
      <w:proofErr w:type="spellEnd"/>
      <w:r w:rsidRPr="0070040C">
        <w:rPr>
          <w:rFonts w:ascii="Arial" w:hAnsi="Arial" w:cs="Arial"/>
          <w:sz w:val="20"/>
          <w:szCs w:val="20"/>
        </w:rPr>
        <w:t xml:space="preserve"> σύμφωνα με τη νομοθεσία για τα θέματα ασφάλειας και υγείας.</w:t>
      </w:r>
    </w:p>
    <w:p w:rsidR="0070040C" w:rsidRPr="0070040C" w:rsidRDefault="0070040C" w:rsidP="0070040C">
      <w:pPr>
        <w:pStyle w:val="BodyText3"/>
        <w:numPr>
          <w:ilvl w:val="0"/>
          <w:numId w:val="7"/>
        </w:numPr>
        <w:spacing w:before="60" w:after="0" w:line="240" w:lineRule="auto"/>
        <w:rPr>
          <w:rFonts w:ascii="Arial" w:hAnsi="Arial" w:cs="Arial"/>
          <w:sz w:val="20"/>
          <w:szCs w:val="20"/>
        </w:rPr>
      </w:pPr>
      <w:r w:rsidRPr="0070040C">
        <w:rPr>
          <w:rFonts w:ascii="Arial" w:hAnsi="Arial" w:cs="Arial"/>
          <w:sz w:val="20"/>
          <w:szCs w:val="20"/>
        </w:rPr>
        <w:t>Να αναγνωρίζουν τις διάφορες πηγές κινδύνου στο χώρο εργασίας.</w:t>
      </w:r>
    </w:p>
    <w:p w:rsidR="0070040C" w:rsidRPr="0070040C" w:rsidRDefault="0070040C" w:rsidP="0070040C">
      <w:pPr>
        <w:pStyle w:val="BodyText3"/>
        <w:numPr>
          <w:ilvl w:val="0"/>
          <w:numId w:val="7"/>
        </w:numPr>
        <w:spacing w:before="60" w:after="0" w:line="240" w:lineRule="auto"/>
        <w:rPr>
          <w:rFonts w:ascii="Arial" w:hAnsi="Arial" w:cs="Arial"/>
          <w:sz w:val="20"/>
          <w:szCs w:val="20"/>
        </w:rPr>
      </w:pPr>
      <w:r w:rsidRPr="0070040C">
        <w:rPr>
          <w:rFonts w:ascii="Arial" w:hAnsi="Arial" w:cs="Arial"/>
          <w:sz w:val="20"/>
          <w:szCs w:val="20"/>
        </w:rPr>
        <w:t>Να περιγράφουν τις ασφαλείς μεθόδους εργασίας.</w:t>
      </w:r>
    </w:p>
    <w:p w:rsidR="00284E2C" w:rsidRPr="005040C9" w:rsidRDefault="00284E2C" w:rsidP="00176D91">
      <w:pPr>
        <w:spacing w:before="180" w:after="60"/>
        <w:rPr>
          <w:rFonts w:cs="Arial"/>
          <w:b/>
          <w:sz w:val="20"/>
          <w:lang w:val="el-GR"/>
        </w:rPr>
      </w:pPr>
      <w:r w:rsidRPr="005040C9">
        <w:rPr>
          <w:rFonts w:cs="Arial"/>
          <w:b/>
          <w:sz w:val="20"/>
          <w:lang w:val="el-GR"/>
        </w:rPr>
        <w:t>ΠΡΟΣ ΠΟΙΟΥΣ ΑΠΕΥΘΥΝΕΤΑΙ:</w:t>
      </w:r>
    </w:p>
    <w:p w:rsidR="0070040C" w:rsidRPr="004641F7" w:rsidRDefault="0070040C" w:rsidP="00176D91">
      <w:pPr>
        <w:spacing w:before="180" w:after="60"/>
        <w:rPr>
          <w:rFonts w:cs="Arial"/>
          <w:sz w:val="20"/>
          <w:lang w:val="el-GR"/>
        </w:rPr>
      </w:pPr>
      <w:r w:rsidRPr="0070040C">
        <w:rPr>
          <w:rFonts w:cs="Arial"/>
          <w:sz w:val="20"/>
          <w:lang w:val="el-GR"/>
        </w:rPr>
        <w:t>Λειτουργούς Ασφάλειας, μέλη Εσωτερικών Υπηρεσιών Προστασίας και Πρόληψης, μέλη Επιτροπών Ασφάλειας, άτομα με αρμοδιότητα στα θέματα Ασφάλειας και Υγείας.</w:t>
      </w:r>
    </w:p>
    <w:p w:rsidR="00284E2C" w:rsidRPr="0070040C" w:rsidRDefault="00B703FF" w:rsidP="00176D91">
      <w:pPr>
        <w:spacing w:before="180" w:after="60"/>
        <w:rPr>
          <w:rFonts w:cs="Arial"/>
          <w:b/>
          <w:sz w:val="20"/>
          <w:lang w:val="el-GR"/>
        </w:rPr>
      </w:pPr>
      <w:r w:rsidRPr="0070040C">
        <w:rPr>
          <w:rFonts w:cs="Arial"/>
          <w:b/>
          <w:sz w:val="20"/>
          <w:lang w:val="el-GR"/>
        </w:rPr>
        <w:t xml:space="preserve">ΔΙΑΡΚΕΙΑ: </w:t>
      </w:r>
      <w:r w:rsidR="0070040C">
        <w:rPr>
          <w:rFonts w:cs="Arial"/>
          <w:b/>
          <w:sz w:val="20"/>
          <w:lang w:val="en-US"/>
        </w:rPr>
        <w:t>18</w:t>
      </w:r>
      <w:r w:rsidR="00284E2C" w:rsidRPr="0070040C">
        <w:rPr>
          <w:rFonts w:cs="Arial"/>
          <w:b/>
          <w:sz w:val="20"/>
          <w:lang w:val="el-GR"/>
        </w:rPr>
        <w:t xml:space="preserve"> ώρες</w:t>
      </w:r>
    </w:p>
    <w:p w:rsidR="00284E2C" w:rsidRPr="00DD269C" w:rsidRDefault="00284E2C" w:rsidP="00FD439B">
      <w:pPr>
        <w:numPr>
          <w:ilvl w:val="0"/>
          <w:numId w:val="5"/>
        </w:numPr>
        <w:ind w:left="426"/>
        <w:jc w:val="both"/>
        <w:rPr>
          <w:rFonts w:cs="Arial"/>
          <w:sz w:val="20"/>
          <w:lang w:val="el-GR"/>
        </w:rPr>
      </w:pPr>
      <w:r w:rsidRPr="005040C9">
        <w:rPr>
          <w:rFonts w:cs="Arial"/>
          <w:sz w:val="20"/>
          <w:lang w:val="el-GR"/>
        </w:rPr>
        <w:t xml:space="preserve">Κάθε </w:t>
      </w:r>
      <w:r w:rsidR="007F2453">
        <w:rPr>
          <w:rFonts w:cs="Arial"/>
          <w:sz w:val="20"/>
          <w:lang w:val="el-GR"/>
        </w:rPr>
        <w:t>Πέμπτη</w:t>
      </w:r>
      <w:r w:rsidR="003B2F60" w:rsidRPr="005040C9">
        <w:rPr>
          <w:rFonts w:cs="Arial"/>
          <w:sz w:val="20"/>
          <w:lang w:val="el-GR"/>
        </w:rPr>
        <w:t xml:space="preserve"> από </w:t>
      </w:r>
      <w:r w:rsidR="00947FA8" w:rsidRPr="00947FA8">
        <w:rPr>
          <w:rFonts w:cs="Arial"/>
          <w:b/>
          <w:sz w:val="20"/>
          <w:lang w:val="el-GR"/>
        </w:rPr>
        <w:t>16</w:t>
      </w:r>
      <w:r w:rsidR="003B2F60" w:rsidRPr="00FC5294">
        <w:rPr>
          <w:rFonts w:cs="Arial"/>
          <w:b/>
          <w:sz w:val="20"/>
          <w:lang w:val="el-GR"/>
        </w:rPr>
        <w:t>/</w:t>
      </w:r>
      <w:r w:rsidR="00FC5294" w:rsidRPr="00FC5294">
        <w:rPr>
          <w:rFonts w:cs="Arial"/>
          <w:b/>
          <w:sz w:val="20"/>
          <w:lang w:val="el-GR"/>
        </w:rPr>
        <w:t>3</w:t>
      </w:r>
      <w:r w:rsidR="003B2F60" w:rsidRPr="00FC5294">
        <w:rPr>
          <w:rFonts w:cs="Arial"/>
          <w:b/>
          <w:sz w:val="20"/>
          <w:lang w:val="el-GR"/>
        </w:rPr>
        <w:t>/20</w:t>
      </w:r>
      <w:r w:rsidR="002C183B" w:rsidRPr="002C183B">
        <w:rPr>
          <w:rFonts w:cs="Arial"/>
          <w:b/>
          <w:sz w:val="20"/>
          <w:lang w:val="el-GR"/>
        </w:rPr>
        <w:t>2</w:t>
      </w:r>
      <w:r w:rsidR="00947FA8" w:rsidRPr="00947FA8">
        <w:rPr>
          <w:rFonts w:cs="Arial"/>
          <w:b/>
          <w:sz w:val="20"/>
          <w:lang w:val="el-GR"/>
        </w:rPr>
        <w:t>3</w:t>
      </w:r>
      <w:r w:rsidR="003B2F60" w:rsidRPr="00FC5294">
        <w:rPr>
          <w:rFonts w:cs="Arial"/>
          <w:b/>
          <w:sz w:val="20"/>
          <w:lang w:val="el-GR"/>
        </w:rPr>
        <w:t xml:space="preserve">- </w:t>
      </w:r>
      <w:r w:rsidR="00947FA8" w:rsidRPr="00947FA8">
        <w:rPr>
          <w:rFonts w:cs="Arial"/>
          <w:b/>
          <w:sz w:val="20"/>
          <w:lang w:val="el-GR"/>
        </w:rPr>
        <w:t>30</w:t>
      </w:r>
      <w:r w:rsidRPr="00FC5294">
        <w:rPr>
          <w:rFonts w:cs="Arial"/>
          <w:b/>
          <w:sz w:val="20"/>
          <w:lang w:val="el-GR"/>
        </w:rPr>
        <w:t>/</w:t>
      </w:r>
      <w:r w:rsidR="00746D66" w:rsidRPr="00746D66">
        <w:rPr>
          <w:rFonts w:cs="Arial"/>
          <w:b/>
          <w:sz w:val="20"/>
          <w:lang w:val="el-GR"/>
        </w:rPr>
        <w:t>3</w:t>
      </w:r>
      <w:r w:rsidRPr="00FC5294">
        <w:rPr>
          <w:rFonts w:cs="Arial"/>
          <w:b/>
          <w:sz w:val="20"/>
          <w:lang w:val="el-GR"/>
        </w:rPr>
        <w:t>/20</w:t>
      </w:r>
      <w:r w:rsidR="002C183B" w:rsidRPr="002C183B">
        <w:rPr>
          <w:rFonts w:cs="Arial"/>
          <w:b/>
          <w:sz w:val="20"/>
          <w:lang w:val="el-GR"/>
        </w:rPr>
        <w:t>2</w:t>
      </w:r>
      <w:r w:rsidR="00947FA8" w:rsidRPr="00947FA8">
        <w:rPr>
          <w:rFonts w:cs="Arial"/>
          <w:b/>
          <w:sz w:val="20"/>
          <w:lang w:val="el-GR"/>
        </w:rPr>
        <w:t>3</w:t>
      </w:r>
      <w:r w:rsidRPr="005040C9">
        <w:rPr>
          <w:rFonts w:cs="Arial"/>
          <w:sz w:val="20"/>
          <w:lang w:val="el-GR"/>
        </w:rPr>
        <w:t xml:space="preserve"> (</w:t>
      </w:r>
      <w:r w:rsidR="00DD269C">
        <w:rPr>
          <w:rFonts w:cs="Arial"/>
          <w:sz w:val="20"/>
          <w:lang w:val="el-GR"/>
        </w:rPr>
        <w:t>8</w:t>
      </w:r>
      <w:r w:rsidRPr="005040C9">
        <w:rPr>
          <w:rFonts w:cs="Arial"/>
          <w:sz w:val="20"/>
          <w:lang w:val="el-GR"/>
        </w:rPr>
        <w:t>.</w:t>
      </w:r>
      <w:r w:rsidR="00DD269C">
        <w:rPr>
          <w:rFonts w:cs="Arial"/>
          <w:sz w:val="20"/>
          <w:lang w:val="el-GR"/>
        </w:rPr>
        <w:t>3</w:t>
      </w:r>
      <w:r w:rsidRPr="005040C9">
        <w:rPr>
          <w:rFonts w:cs="Arial"/>
          <w:sz w:val="20"/>
          <w:lang w:val="el-GR"/>
        </w:rPr>
        <w:t>0</w:t>
      </w:r>
      <w:r w:rsidR="00DD269C">
        <w:rPr>
          <w:rFonts w:cs="Arial"/>
          <w:sz w:val="20"/>
          <w:lang w:val="el-GR"/>
        </w:rPr>
        <w:t>πμ</w:t>
      </w:r>
      <w:r w:rsidRPr="005040C9">
        <w:rPr>
          <w:rFonts w:cs="Arial"/>
          <w:sz w:val="20"/>
          <w:lang w:val="el-GR"/>
        </w:rPr>
        <w:t xml:space="preserve"> - </w:t>
      </w:r>
      <w:r w:rsidR="00DD269C">
        <w:rPr>
          <w:rFonts w:cs="Arial"/>
          <w:sz w:val="20"/>
          <w:lang w:val="el-GR"/>
        </w:rPr>
        <w:t>3</w:t>
      </w:r>
      <w:r w:rsidR="003B2F60" w:rsidRPr="005040C9">
        <w:rPr>
          <w:rFonts w:cs="Arial"/>
          <w:sz w:val="20"/>
          <w:lang w:val="el-GR"/>
        </w:rPr>
        <w:t>.</w:t>
      </w:r>
      <w:r w:rsidR="00DD269C">
        <w:rPr>
          <w:rFonts w:cs="Arial"/>
          <w:sz w:val="20"/>
          <w:lang w:val="el-GR"/>
        </w:rPr>
        <w:t>00</w:t>
      </w:r>
      <w:r w:rsidRPr="005040C9">
        <w:rPr>
          <w:rFonts w:cs="Arial"/>
          <w:sz w:val="20"/>
          <w:lang w:val="el-GR"/>
        </w:rPr>
        <w:t xml:space="preserve"> </w:t>
      </w:r>
      <w:proofErr w:type="spellStart"/>
      <w:r w:rsidRPr="005040C9">
        <w:rPr>
          <w:rFonts w:cs="Arial"/>
          <w:sz w:val="20"/>
          <w:lang w:val="el-GR"/>
        </w:rPr>
        <w:t>μμ</w:t>
      </w:r>
      <w:proofErr w:type="spellEnd"/>
      <w:r w:rsidRPr="005040C9">
        <w:rPr>
          <w:rFonts w:cs="Arial"/>
          <w:sz w:val="20"/>
          <w:lang w:val="el-GR"/>
        </w:rPr>
        <w:t>)</w:t>
      </w:r>
      <w:r w:rsidR="003B2F60" w:rsidRPr="003B2F60">
        <w:rPr>
          <w:rFonts w:cs="Arial"/>
          <w:sz w:val="20"/>
          <w:lang w:val="el-GR"/>
        </w:rPr>
        <w:t xml:space="preserve">. </w:t>
      </w:r>
    </w:p>
    <w:p w:rsidR="00284E2C" w:rsidRPr="003B2F60" w:rsidRDefault="00284E2C" w:rsidP="00176D91">
      <w:pPr>
        <w:spacing w:before="180" w:after="60"/>
        <w:rPr>
          <w:rFonts w:cs="Arial"/>
          <w:sz w:val="20"/>
          <w:lang w:val="el-GR"/>
        </w:rPr>
      </w:pPr>
      <w:r w:rsidRPr="007F2453">
        <w:rPr>
          <w:rFonts w:cs="Arial"/>
          <w:b/>
          <w:sz w:val="20"/>
          <w:lang w:val="el-GR"/>
        </w:rPr>
        <w:t xml:space="preserve">ΓΛΩΣΣΑ:  </w:t>
      </w:r>
      <w:r w:rsidRPr="007F2453">
        <w:rPr>
          <w:rFonts w:cs="Arial"/>
          <w:bCs/>
          <w:sz w:val="20"/>
          <w:lang w:val="el-GR"/>
        </w:rPr>
        <w:t>Ελληνική</w:t>
      </w:r>
    </w:p>
    <w:p w:rsidR="007F2453" w:rsidRDefault="00284E2C" w:rsidP="00176D91">
      <w:pPr>
        <w:spacing w:before="180" w:after="60"/>
        <w:rPr>
          <w:rFonts w:cs="Arial"/>
          <w:sz w:val="20"/>
          <w:lang w:val="el-GR"/>
        </w:rPr>
      </w:pPr>
      <w:r w:rsidRPr="007F2453">
        <w:rPr>
          <w:rFonts w:cs="Arial"/>
          <w:b/>
          <w:sz w:val="20"/>
          <w:lang w:val="el-GR"/>
        </w:rPr>
        <w:t>ΕΙΣΗΓΗΤ</w:t>
      </w:r>
      <w:r w:rsidR="007F2453">
        <w:rPr>
          <w:rFonts w:cs="Arial"/>
          <w:b/>
          <w:sz w:val="20"/>
          <w:lang w:val="el-GR"/>
        </w:rPr>
        <w:t>Ε</w:t>
      </w:r>
      <w:r w:rsidR="00993E01">
        <w:rPr>
          <w:rFonts w:cs="Arial"/>
          <w:b/>
          <w:sz w:val="20"/>
          <w:lang w:val="el-GR"/>
        </w:rPr>
        <w:t>Σ</w:t>
      </w:r>
      <w:r w:rsidR="00993E01" w:rsidRPr="007F2453">
        <w:rPr>
          <w:rFonts w:cs="Arial"/>
          <w:b/>
          <w:sz w:val="20"/>
          <w:lang w:val="el-GR"/>
        </w:rPr>
        <w:t xml:space="preserve">: </w:t>
      </w:r>
      <w:r w:rsidR="00947FA8">
        <w:rPr>
          <w:rFonts w:cs="Arial"/>
          <w:sz w:val="20"/>
          <w:lang w:val="el-GR"/>
        </w:rPr>
        <w:t>Γιώργος Βασιλείου</w:t>
      </w:r>
      <w:r w:rsidR="007F2453">
        <w:rPr>
          <w:rFonts w:cs="Arial"/>
          <w:sz w:val="20"/>
          <w:lang w:val="el-GR"/>
        </w:rPr>
        <w:t xml:space="preserve"> (</w:t>
      </w:r>
      <w:r w:rsidR="00340ADA">
        <w:rPr>
          <w:rFonts w:cs="Arial"/>
          <w:sz w:val="20"/>
          <w:lang w:val="el-GR"/>
        </w:rPr>
        <w:t>Εξωτερικός συνεργάτης</w:t>
      </w:r>
      <w:r w:rsidR="007F2453">
        <w:rPr>
          <w:rFonts w:cs="Arial"/>
          <w:sz w:val="20"/>
          <w:lang w:val="el-GR"/>
        </w:rPr>
        <w:t>)</w:t>
      </w:r>
      <w:r w:rsidR="00EB15CE">
        <w:rPr>
          <w:rFonts w:cs="Arial"/>
          <w:sz w:val="20"/>
          <w:lang w:val="el-GR"/>
        </w:rPr>
        <w:t>,</w:t>
      </w:r>
    </w:p>
    <w:p w:rsidR="00284E2C" w:rsidRPr="00DD269C" w:rsidRDefault="007F2453" w:rsidP="00176D91">
      <w:pPr>
        <w:spacing w:before="180" w:after="60"/>
        <w:rPr>
          <w:rFonts w:cs="Arial"/>
          <w:sz w:val="20"/>
          <w:lang w:val="el-GR"/>
        </w:rPr>
      </w:pPr>
      <w:r>
        <w:rPr>
          <w:rFonts w:cs="Arial"/>
          <w:sz w:val="20"/>
          <w:lang w:val="el-GR"/>
        </w:rPr>
        <w:t xml:space="preserve">                     </w:t>
      </w:r>
      <w:r w:rsidR="00947FA8">
        <w:rPr>
          <w:rFonts w:cs="Arial"/>
          <w:sz w:val="20"/>
          <w:lang w:val="el-GR"/>
        </w:rPr>
        <w:t>Σωτήρης</w:t>
      </w:r>
      <w:r w:rsidR="00EF3281">
        <w:rPr>
          <w:rFonts w:cs="Arial"/>
          <w:sz w:val="20"/>
          <w:lang w:val="el-GR"/>
        </w:rPr>
        <w:t xml:space="preserve"> </w:t>
      </w:r>
      <w:r w:rsidR="00947FA8">
        <w:rPr>
          <w:rFonts w:cs="Arial"/>
          <w:sz w:val="20"/>
          <w:lang w:val="el-GR"/>
        </w:rPr>
        <w:t>Μαύρος</w:t>
      </w:r>
      <w:r>
        <w:rPr>
          <w:rFonts w:cs="Arial"/>
          <w:sz w:val="20"/>
          <w:lang w:val="el-GR"/>
        </w:rPr>
        <w:t xml:space="preserve"> (Εξωτερικ</w:t>
      </w:r>
      <w:r w:rsidR="0070040C">
        <w:rPr>
          <w:rFonts w:cs="Arial"/>
          <w:sz w:val="20"/>
          <w:lang w:val="el-GR"/>
        </w:rPr>
        <w:t>ός</w:t>
      </w:r>
      <w:r>
        <w:rPr>
          <w:rFonts w:cs="Arial"/>
          <w:sz w:val="20"/>
          <w:lang w:val="el-GR"/>
        </w:rPr>
        <w:t xml:space="preserve"> </w:t>
      </w:r>
      <w:r w:rsidR="00EB15CE">
        <w:rPr>
          <w:rFonts w:cs="Arial"/>
          <w:sz w:val="20"/>
          <w:lang w:val="el-GR"/>
        </w:rPr>
        <w:t>συνεργάτ</w:t>
      </w:r>
      <w:r w:rsidR="0070040C">
        <w:rPr>
          <w:rFonts w:cs="Arial"/>
          <w:sz w:val="20"/>
          <w:lang w:val="el-GR"/>
        </w:rPr>
        <w:t>η</w:t>
      </w:r>
      <w:r w:rsidR="00EB15CE">
        <w:rPr>
          <w:rFonts w:cs="Arial"/>
          <w:sz w:val="20"/>
          <w:lang w:val="el-GR"/>
        </w:rPr>
        <w:t>ς</w:t>
      </w:r>
      <w:r w:rsidR="0070040C">
        <w:rPr>
          <w:rFonts w:cs="Arial"/>
          <w:sz w:val="20"/>
          <w:lang w:val="el-GR"/>
        </w:rPr>
        <w:t>)</w:t>
      </w:r>
    </w:p>
    <w:p w:rsidR="00284E2C" w:rsidRPr="007F2453" w:rsidRDefault="00284E2C" w:rsidP="00176D91">
      <w:pPr>
        <w:spacing w:before="180" w:after="60"/>
        <w:rPr>
          <w:rFonts w:cs="Arial"/>
          <w:sz w:val="20"/>
          <w:lang w:val="el-GR"/>
        </w:rPr>
      </w:pPr>
      <w:r w:rsidRPr="007F2453">
        <w:rPr>
          <w:rFonts w:cs="Arial"/>
          <w:b/>
          <w:sz w:val="20"/>
          <w:lang w:val="el-GR"/>
        </w:rPr>
        <w:t xml:space="preserve">ΑΡΙΘΜΟΣ ΔΙΑΘΕΣΙΜΩΝ ΘΕΣΕΩΝ: </w:t>
      </w:r>
      <w:r w:rsidR="000F5456" w:rsidRPr="007F2453">
        <w:rPr>
          <w:rFonts w:cs="Arial"/>
          <w:sz w:val="20"/>
          <w:lang w:val="el-GR"/>
        </w:rPr>
        <w:t>28</w:t>
      </w:r>
    </w:p>
    <w:p w:rsidR="00284E2C" w:rsidRPr="003B2F60" w:rsidRDefault="00284E2C" w:rsidP="00EB15CE">
      <w:pPr>
        <w:spacing w:before="180" w:after="60"/>
        <w:rPr>
          <w:rFonts w:cs="Arial"/>
          <w:sz w:val="20"/>
          <w:lang w:val="el-GR"/>
        </w:rPr>
      </w:pPr>
      <w:r w:rsidRPr="007F2453">
        <w:rPr>
          <w:rFonts w:cs="Arial"/>
          <w:b/>
          <w:sz w:val="20"/>
          <w:lang w:val="el-GR"/>
        </w:rPr>
        <w:t>ΜΕΘΟΔΟΙ ΚΑΤΑΡΤΙΣΗΣ:</w:t>
      </w:r>
      <w:r w:rsidR="00EB15CE">
        <w:rPr>
          <w:rFonts w:cs="Arial"/>
          <w:b/>
          <w:sz w:val="20"/>
          <w:lang w:val="el-GR"/>
        </w:rPr>
        <w:t xml:space="preserve"> </w:t>
      </w:r>
      <w:r w:rsidR="00512C04">
        <w:rPr>
          <w:rFonts w:cs="Arial"/>
          <w:sz w:val="20"/>
          <w:lang w:val="el-GR"/>
        </w:rPr>
        <w:t>Διαλέξεις με συζήτηση, εργασία σε ομάδες, και ασκήσεις.</w:t>
      </w:r>
    </w:p>
    <w:p w:rsidR="00284E2C" w:rsidRPr="005040C9" w:rsidRDefault="00284E2C" w:rsidP="00EB15CE">
      <w:pPr>
        <w:spacing w:before="180" w:after="60"/>
        <w:rPr>
          <w:rFonts w:cs="Arial"/>
          <w:sz w:val="20"/>
          <w:lang w:val="el-GR"/>
        </w:rPr>
      </w:pPr>
      <w:r w:rsidRPr="005040C9">
        <w:rPr>
          <w:rFonts w:cs="Arial"/>
          <w:b/>
          <w:sz w:val="20"/>
          <w:lang w:val="el-GR"/>
        </w:rPr>
        <w:t>ΕΚΠΑΙΔΕΥΤΙΚΑ ΜΕΣΑ/ΕΞΟΠΛΙΣΜΟΣ:</w:t>
      </w:r>
      <w:r w:rsidR="00EB15CE">
        <w:rPr>
          <w:rFonts w:cs="Arial"/>
          <w:b/>
          <w:sz w:val="20"/>
          <w:lang w:val="el-GR"/>
        </w:rPr>
        <w:t xml:space="preserve"> </w:t>
      </w:r>
      <w:r w:rsidR="00512C04">
        <w:rPr>
          <w:rFonts w:cs="Arial"/>
          <w:sz w:val="20"/>
          <w:lang w:val="el-GR"/>
        </w:rPr>
        <w:t>Προβολέας διαφανειών, πίνακας.</w:t>
      </w:r>
    </w:p>
    <w:p w:rsidR="007747B4" w:rsidRPr="007747B4" w:rsidRDefault="00751D2B" w:rsidP="00E63145">
      <w:pPr>
        <w:spacing w:before="120"/>
        <w:jc w:val="center"/>
        <w:rPr>
          <w:rFonts w:cs="Arial"/>
          <w:sz w:val="20"/>
          <w:lang w:val="el-GR"/>
        </w:rPr>
      </w:pPr>
      <w:r>
        <w:rPr>
          <w:rFonts w:cs="Arial"/>
          <w:noProof/>
          <w:sz w:val="20"/>
          <w:lang w:eastAsia="en-GB"/>
        </w:rPr>
        <w:drawing>
          <wp:inline distT="0" distB="0" distL="0" distR="0">
            <wp:extent cx="4724400" cy="600111"/>
            <wp:effectExtent l="1905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4727344" cy="600485"/>
                    </a:xfrm>
                    <a:prstGeom prst="rect">
                      <a:avLst/>
                    </a:prstGeom>
                    <a:noFill/>
                    <a:ln w="9525">
                      <a:noFill/>
                      <a:miter lim="800000"/>
                      <a:headEnd/>
                      <a:tailEnd/>
                    </a:ln>
                  </pic:spPr>
                </pic:pic>
              </a:graphicData>
            </a:graphic>
          </wp:inline>
        </w:drawing>
      </w:r>
    </w:p>
    <w:p w:rsidR="00FC5294" w:rsidRDefault="00FC5294" w:rsidP="0034464A">
      <w:pPr>
        <w:pStyle w:val="Heading1"/>
        <w:keepNext w:val="0"/>
        <w:widowControl w:val="0"/>
        <w:numPr>
          <w:ilvl w:val="0"/>
          <w:numId w:val="0"/>
        </w:numPr>
        <w:tabs>
          <w:tab w:val="clear" w:pos="432"/>
        </w:tabs>
        <w:spacing w:before="0" w:after="240"/>
        <w:rPr>
          <w:rFonts w:cs="Arial"/>
        </w:rPr>
      </w:pP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lastRenderedPageBreak/>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34464A"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EF3281" w:rsidRDefault="00EB15CE" w:rsidP="00947FA8">
            <w:pPr>
              <w:pStyle w:val="Title"/>
              <w:jc w:val="left"/>
              <w:rPr>
                <w:rFonts w:cs="Arial"/>
                <w:sz w:val="20"/>
              </w:rPr>
            </w:pPr>
            <w:r>
              <w:rPr>
                <w:rFonts w:cs="Arial"/>
                <w:sz w:val="20"/>
              </w:rPr>
              <w:t>Πέμπτη</w:t>
            </w:r>
            <w:r w:rsidR="007747B4" w:rsidRPr="0034464A">
              <w:rPr>
                <w:rFonts w:cs="Arial"/>
                <w:sz w:val="20"/>
              </w:rPr>
              <w:t xml:space="preserve">, </w:t>
            </w:r>
            <w:r w:rsidR="00947FA8">
              <w:rPr>
                <w:rFonts w:cs="Arial"/>
                <w:sz w:val="20"/>
                <w:lang w:val="en-US"/>
              </w:rPr>
              <w:t>16</w:t>
            </w:r>
            <w:r w:rsidR="007747B4" w:rsidRPr="0034464A">
              <w:rPr>
                <w:rFonts w:cs="Arial"/>
                <w:sz w:val="20"/>
              </w:rPr>
              <w:t>/</w:t>
            </w:r>
            <w:r w:rsidR="00FC5294">
              <w:rPr>
                <w:rFonts w:cs="Arial"/>
                <w:sz w:val="20"/>
                <w:lang w:val="en-US"/>
              </w:rPr>
              <w:t>3</w:t>
            </w:r>
            <w:r w:rsidR="007747B4" w:rsidRPr="0034464A">
              <w:rPr>
                <w:rFonts w:cs="Arial"/>
                <w:sz w:val="20"/>
              </w:rPr>
              <w:t>/20</w:t>
            </w:r>
            <w:r w:rsidR="002C183B">
              <w:rPr>
                <w:rFonts w:cs="Arial"/>
                <w:sz w:val="20"/>
                <w:lang w:val="en-US"/>
              </w:rPr>
              <w:t>2</w:t>
            </w:r>
            <w:r w:rsidR="00947FA8">
              <w:rPr>
                <w:rFonts w:cs="Arial"/>
                <w:sz w:val="20"/>
                <w:lang w:val="en-US"/>
              </w:rPr>
              <w:t>3</w:t>
            </w:r>
            <w:r w:rsidR="007747B4" w:rsidRPr="0034464A">
              <w:rPr>
                <w:rFonts w:cs="Arial"/>
                <w:sz w:val="20"/>
              </w:rPr>
              <w:t xml:space="preserve"> </w:t>
            </w:r>
          </w:p>
        </w:tc>
      </w:tr>
      <w:tr w:rsidR="007747B4" w:rsidRPr="00EB15CE" w:rsidTr="0034464A">
        <w:trPr>
          <w:trHeight w:val="942"/>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5B75D4" w:rsidRPr="005B75D4" w:rsidRDefault="005B75D4" w:rsidP="005B75D4">
            <w:pPr>
              <w:shd w:val="clear" w:color="auto" w:fill="FFFFFF"/>
              <w:spacing w:before="120"/>
              <w:ind w:left="720"/>
              <w:jc w:val="both"/>
              <w:rPr>
                <w:rFonts w:cs="Arial"/>
                <w:b/>
                <w:sz w:val="20"/>
              </w:rPr>
            </w:pPr>
            <w:proofErr w:type="spellStart"/>
            <w:r w:rsidRPr="005B75D4">
              <w:rPr>
                <w:rFonts w:cs="Arial"/>
                <w:b/>
                <w:sz w:val="20"/>
              </w:rPr>
              <w:t>Αρχές</w:t>
            </w:r>
            <w:proofErr w:type="spellEnd"/>
            <w:r w:rsidRPr="005B75D4">
              <w:rPr>
                <w:rFonts w:cs="Arial"/>
                <w:b/>
                <w:sz w:val="20"/>
              </w:rPr>
              <w:t xml:space="preserve"> Επα</w:t>
            </w:r>
            <w:proofErr w:type="spellStart"/>
            <w:r w:rsidRPr="005B75D4">
              <w:rPr>
                <w:rFonts w:cs="Arial"/>
                <w:b/>
                <w:sz w:val="20"/>
              </w:rPr>
              <w:t>γγελμ</w:t>
            </w:r>
            <w:proofErr w:type="spellEnd"/>
            <w:r w:rsidRPr="005B75D4">
              <w:rPr>
                <w:rFonts w:cs="Arial"/>
                <w:b/>
                <w:sz w:val="20"/>
              </w:rPr>
              <w:t xml:space="preserve">ατικής </w:t>
            </w:r>
            <w:proofErr w:type="spellStart"/>
            <w:r w:rsidRPr="005B75D4">
              <w:rPr>
                <w:rFonts w:cs="Arial"/>
                <w:b/>
                <w:sz w:val="20"/>
              </w:rPr>
              <w:t>Υγεί</w:t>
            </w:r>
            <w:proofErr w:type="spellEnd"/>
            <w:r w:rsidRPr="005B75D4">
              <w:rPr>
                <w:rFonts w:cs="Arial"/>
                <w:b/>
                <w:sz w:val="20"/>
              </w:rPr>
              <w:t>ας</w:t>
            </w:r>
          </w:p>
          <w:p w:rsidR="005B75D4" w:rsidRPr="005B75D4" w:rsidRDefault="005B75D4" w:rsidP="005B75D4">
            <w:pPr>
              <w:numPr>
                <w:ilvl w:val="0"/>
                <w:numId w:val="6"/>
              </w:numPr>
              <w:shd w:val="clear" w:color="auto" w:fill="FFFFFF"/>
              <w:spacing w:before="120"/>
              <w:jc w:val="both"/>
              <w:rPr>
                <w:rFonts w:cs="Arial"/>
                <w:sz w:val="20"/>
                <w:lang w:val="el-GR"/>
              </w:rPr>
            </w:pPr>
            <w:r w:rsidRPr="005B75D4">
              <w:rPr>
                <w:rFonts w:cs="Arial"/>
                <w:sz w:val="20"/>
                <w:lang w:val="el-GR"/>
              </w:rPr>
              <w:t>Τι είναι η Επαγγελματική Υγεία.</w:t>
            </w:r>
          </w:p>
          <w:p w:rsidR="005B75D4" w:rsidRPr="005B75D4" w:rsidRDefault="005B75D4" w:rsidP="005B75D4">
            <w:pPr>
              <w:numPr>
                <w:ilvl w:val="0"/>
                <w:numId w:val="6"/>
              </w:numPr>
              <w:spacing w:before="60"/>
              <w:ind w:left="714" w:hanging="357"/>
              <w:jc w:val="both"/>
              <w:rPr>
                <w:rFonts w:cs="Arial"/>
                <w:b/>
                <w:sz w:val="20"/>
              </w:rPr>
            </w:pPr>
            <w:proofErr w:type="spellStart"/>
            <w:r w:rsidRPr="005B75D4">
              <w:rPr>
                <w:rFonts w:cs="Arial"/>
                <w:sz w:val="20"/>
              </w:rPr>
              <w:t>Αρχές</w:t>
            </w:r>
            <w:proofErr w:type="spellEnd"/>
            <w:r w:rsidRPr="005B75D4">
              <w:rPr>
                <w:rFonts w:cs="Arial"/>
                <w:sz w:val="20"/>
              </w:rPr>
              <w:t xml:space="preserve"> Επα</w:t>
            </w:r>
            <w:proofErr w:type="spellStart"/>
            <w:r w:rsidRPr="005B75D4">
              <w:rPr>
                <w:rFonts w:cs="Arial"/>
                <w:sz w:val="20"/>
              </w:rPr>
              <w:t>γγελμ</w:t>
            </w:r>
            <w:proofErr w:type="spellEnd"/>
            <w:r w:rsidRPr="005B75D4">
              <w:rPr>
                <w:rFonts w:cs="Arial"/>
                <w:sz w:val="20"/>
              </w:rPr>
              <w:t xml:space="preserve">ατικής </w:t>
            </w:r>
            <w:proofErr w:type="spellStart"/>
            <w:r w:rsidRPr="005B75D4">
              <w:rPr>
                <w:rFonts w:cs="Arial"/>
                <w:sz w:val="20"/>
              </w:rPr>
              <w:t>Υγεί</w:t>
            </w:r>
            <w:proofErr w:type="spellEnd"/>
            <w:r w:rsidRPr="005B75D4">
              <w:rPr>
                <w:rFonts w:cs="Arial"/>
                <w:sz w:val="20"/>
              </w:rPr>
              <w:t>ας.</w:t>
            </w:r>
          </w:p>
          <w:p w:rsidR="005B75D4" w:rsidRPr="005B75D4" w:rsidRDefault="005B75D4" w:rsidP="005B75D4">
            <w:pPr>
              <w:numPr>
                <w:ilvl w:val="0"/>
                <w:numId w:val="6"/>
              </w:numPr>
              <w:spacing w:before="60"/>
              <w:ind w:left="714" w:hanging="357"/>
              <w:jc w:val="both"/>
              <w:rPr>
                <w:rFonts w:cs="Arial"/>
                <w:sz w:val="20"/>
                <w:lang w:val="el-GR"/>
              </w:rPr>
            </w:pPr>
            <w:r w:rsidRPr="005B75D4">
              <w:rPr>
                <w:rFonts w:cs="Arial"/>
                <w:sz w:val="20"/>
                <w:lang w:val="el-GR"/>
              </w:rPr>
              <w:t>Ενσωμάτωση των αρχών της επαγγελματικής ασφάλειας και υγείας στη διοίκηση των επιχειρήσεων.</w:t>
            </w:r>
          </w:p>
          <w:p w:rsidR="005B75D4" w:rsidRPr="005B75D4" w:rsidRDefault="005B75D4" w:rsidP="005B75D4">
            <w:pPr>
              <w:numPr>
                <w:ilvl w:val="0"/>
                <w:numId w:val="6"/>
              </w:numPr>
              <w:spacing w:before="60"/>
              <w:ind w:left="714" w:hanging="357"/>
              <w:jc w:val="both"/>
              <w:rPr>
                <w:rFonts w:cs="Arial"/>
                <w:sz w:val="20"/>
                <w:lang w:val="el-GR"/>
              </w:rPr>
            </w:pPr>
            <w:r w:rsidRPr="005B75D4">
              <w:rPr>
                <w:rFonts w:cs="Arial"/>
                <w:sz w:val="20"/>
                <w:lang w:val="el-GR"/>
              </w:rPr>
              <w:t>Κόστος για λήψη μέτρων σε σχέση με το κόστος των εργατικών ατυχημάτων.</w:t>
            </w:r>
          </w:p>
          <w:p w:rsidR="005B75D4" w:rsidRPr="005B75D4" w:rsidRDefault="005B75D4" w:rsidP="005B75D4">
            <w:pPr>
              <w:numPr>
                <w:ilvl w:val="0"/>
                <w:numId w:val="6"/>
              </w:numPr>
              <w:spacing w:before="60"/>
              <w:ind w:left="714" w:hanging="357"/>
              <w:jc w:val="both"/>
              <w:rPr>
                <w:rFonts w:cs="Arial"/>
                <w:sz w:val="20"/>
                <w:lang w:val="el-GR"/>
              </w:rPr>
            </w:pPr>
            <w:r w:rsidRPr="005B75D4">
              <w:rPr>
                <w:rFonts w:cs="Arial"/>
                <w:sz w:val="20"/>
                <w:lang w:val="el-GR"/>
              </w:rPr>
              <w:t>Επισκόπηση του πλαισίου πολιτικής σε διεθνές, ευρωπαϊκό και εθνικό επίπεδο.</w:t>
            </w:r>
          </w:p>
          <w:p w:rsidR="005B75D4" w:rsidRPr="005B75D4" w:rsidRDefault="005B75D4" w:rsidP="005B75D4">
            <w:pPr>
              <w:numPr>
                <w:ilvl w:val="0"/>
                <w:numId w:val="8"/>
              </w:numPr>
              <w:spacing w:before="60"/>
              <w:jc w:val="both"/>
              <w:rPr>
                <w:rFonts w:cs="Arial"/>
                <w:sz w:val="20"/>
                <w:lang w:val="el-GR"/>
              </w:rPr>
            </w:pPr>
            <w:r w:rsidRPr="005B75D4">
              <w:rPr>
                <w:rFonts w:cs="Arial"/>
                <w:sz w:val="20"/>
                <w:lang w:val="el-GR"/>
              </w:rPr>
              <w:t>Αντιμετώπιση Επαγγελματικής Υγείας από τις επιχειρήσεις-γιατρός εργασίας, περιοδικοί έλεγχοι, ασκήσεις, εκτιμήσεις κινδύνου κ.λπ.</w:t>
            </w:r>
          </w:p>
          <w:p w:rsidR="005B75D4" w:rsidRPr="005B75D4" w:rsidRDefault="005B75D4" w:rsidP="005B75D4">
            <w:pPr>
              <w:numPr>
                <w:ilvl w:val="0"/>
                <w:numId w:val="8"/>
              </w:numPr>
              <w:spacing w:before="60"/>
              <w:jc w:val="both"/>
              <w:rPr>
                <w:rFonts w:cs="Arial"/>
                <w:sz w:val="20"/>
                <w:lang w:val="el-GR"/>
              </w:rPr>
            </w:pPr>
            <w:r w:rsidRPr="005B75D4">
              <w:rPr>
                <w:rFonts w:cs="Arial"/>
                <w:sz w:val="20"/>
                <w:lang w:val="el-GR"/>
              </w:rPr>
              <w:t>Οι επαγγελματικές ασθένειες στο χώρο εργασίας. Εργαστηριακή διερεύνηση επαγγελματικών παθήσεων. Αναγνώριση επαγγελματικών ασθενειών.</w:t>
            </w:r>
          </w:p>
          <w:p w:rsidR="005B75D4" w:rsidRPr="005B75D4" w:rsidRDefault="005B75D4" w:rsidP="005B75D4">
            <w:pPr>
              <w:numPr>
                <w:ilvl w:val="0"/>
                <w:numId w:val="8"/>
              </w:numPr>
              <w:spacing w:before="60"/>
              <w:jc w:val="both"/>
              <w:rPr>
                <w:rFonts w:cs="Arial"/>
                <w:sz w:val="20"/>
                <w:lang w:val="el-GR"/>
              </w:rPr>
            </w:pPr>
            <w:r w:rsidRPr="005B75D4">
              <w:rPr>
                <w:rFonts w:cs="Arial"/>
                <w:sz w:val="20"/>
                <w:lang w:val="el-GR"/>
              </w:rPr>
              <w:t>Αρχές ασφάλειας και υγείας στην εργασία. Αρχές πρόληψης των κινδύνων. Αρχές επαγγελματικής υγείας. Βασικές αρχές επιθεώρησης χώρων εργασίας, δειγματοληψίας και μετρήσεων. Διερεύνηση ατυχημάτων και επικίνδυνων συμβάντων.</w:t>
            </w:r>
          </w:p>
          <w:p w:rsidR="005B75D4" w:rsidRPr="005B75D4" w:rsidRDefault="005B75D4" w:rsidP="005B75D4">
            <w:pPr>
              <w:numPr>
                <w:ilvl w:val="0"/>
                <w:numId w:val="8"/>
              </w:numPr>
              <w:spacing w:before="60"/>
              <w:jc w:val="both"/>
              <w:rPr>
                <w:rFonts w:cs="Arial"/>
                <w:sz w:val="20"/>
              </w:rPr>
            </w:pPr>
            <w:proofErr w:type="spellStart"/>
            <w:r w:rsidRPr="005B75D4">
              <w:rPr>
                <w:rFonts w:cs="Arial"/>
                <w:sz w:val="20"/>
              </w:rPr>
              <w:t>Συμ</w:t>
            </w:r>
            <w:proofErr w:type="spellEnd"/>
            <w:r w:rsidRPr="005B75D4">
              <w:rPr>
                <w:rFonts w:cs="Arial"/>
                <w:sz w:val="20"/>
              </w:rPr>
              <w:t xml:space="preserve">περάσματα – </w:t>
            </w:r>
            <w:proofErr w:type="spellStart"/>
            <w:r w:rsidRPr="005B75D4">
              <w:rPr>
                <w:rFonts w:cs="Arial"/>
                <w:sz w:val="20"/>
              </w:rPr>
              <w:t>Συζήτηση</w:t>
            </w:r>
            <w:proofErr w:type="spellEnd"/>
            <w:r w:rsidRPr="005B75D4">
              <w:rPr>
                <w:rFonts w:cs="Arial"/>
                <w:sz w:val="20"/>
              </w:rPr>
              <w:t>.</w:t>
            </w:r>
          </w:p>
          <w:p w:rsidR="0034464A" w:rsidRPr="00512C04" w:rsidRDefault="0034464A" w:rsidP="00EB15CE">
            <w:pPr>
              <w:spacing w:before="60"/>
              <w:ind w:left="360"/>
              <w:jc w:val="both"/>
              <w:rPr>
                <w:rFonts w:cs="Arial"/>
                <w:bCs/>
                <w:sz w:val="20"/>
                <w:lang w:val="el-GR"/>
              </w:rPr>
            </w:pPr>
          </w:p>
        </w:tc>
      </w:tr>
      <w:tr w:rsidR="00BE79C5" w:rsidRPr="00746D66"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EF3281" w:rsidRDefault="00EB15CE" w:rsidP="00947FA8">
            <w:pPr>
              <w:pStyle w:val="Title"/>
              <w:jc w:val="left"/>
              <w:rPr>
                <w:rFonts w:cs="Arial"/>
                <w:sz w:val="20"/>
              </w:rPr>
            </w:pPr>
            <w:r>
              <w:rPr>
                <w:rFonts w:cs="Arial"/>
                <w:sz w:val="20"/>
              </w:rPr>
              <w:t>Πέμπτη</w:t>
            </w:r>
            <w:r w:rsidR="00BE79C5" w:rsidRPr="0034464A">
              <w:rPr>
                <w:rFonts w:cs="Arial"/>
                <w:sz w:val="20"/>
              </w:rPr>
              <w:t xml:space="preserve">, </w:t>
            </w:r>
            <w:r w:rsidR="00947FA8">
              <w:rPr>
                <w:rFonts w:cs="Arial"/>
                <w:sz w:val="20"/>
                <w:lang w:val="en-US"/>
              </w:rPr>
              <w:t>23</w:t>
            </w:r>
            <w:r w:rsidR="00BE79C5" w:rsidRPr="0034464A">
              <w:rPr>
                <w:rFonts w:cs="Arial"/>
                <w:sz w:val="20"/>
              </w:rPr>
              <w:t>/</w:t>
            </w:r>
            <w:r w:rsidR="00746D66" w:rsidRPr="00746D66">
              <w:rPr>
                <w:rFonts w:cs="Arial"/>
                <w:sz w:val="20"/>
              </w:rPr>
              <w:t>3</w:t>
            </w:r>
            <w:r w:rsidR="00BE79C5" w:rsidRPr="0034464A">
              <w:rPr>
                <w:rFonts w:cs="Arial"/>
                <w:sz w:val="20"/>
              </w:rPr>
              <w:t>/20</w:t>
            </w:r>
            <w:r w:rsidR="002C183B" w:rsidRPr="00C60D6E">
              <w:rPr>
                <w:rFonts w:cs="Arial"/>
                <w:sz w:val="20"/>
              </w:rPr>
              <w:t>2</w:t>
            </w:r>
            <w:r w:rsidR="00947FA8">
              <w:rPr>
                <w:rFonts w:cs="Arial"/>
                <w:sz w:val="20"/>
                <w:lang w:val="en-US"/>
              </w:rPr>
              <w:t>3</w:t>
            </w:r>
            <w:r w:rsidR="004641F7">
              <w:rPr>
                <w:rFonts w:cs="Arial"/>
                <w:sz w:val="20"/>
              </w:rPr>
              <w:t xml:space="preserve"> </w:t>
            </w:r>
          </w:p>
        </w:tc>
      </w:tr>
      <w:tr w:rsidR="00BE79C5" w:rsidRPr="00D92F8D" w:rsidTr="00EB15CE">
        <w:trPr>
          <w:trHeight w:val="201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FC5294" w:rsidRPr="005B75D4" w:rsidRDefault="00FC5294" w:rsidP="00FC5294">
            <w:pPr>
              <w:spacing w:before="120"/>
              <w:ind w:left="720"/>
              <w:jc w:val="both"/>
              <w:rPr>
                <w:rFonts w:cs="Arial"/>
                <w:b/>
                <w:sz w:val="20"/>
              </w:rPr>
            </w:pPr>
            <w:proofErr w:type="spellStart"/>
            <w:r w:rsidRPr="005B75D4">
              <w:rPr>
                <w:rFonts w:cs="Arial"/>
                <w:b/>
                <w:sz w:val="20"/>
              </w:rPr>
              <w:t>Ψυχοσωμ</w:t>
            </w:r>
            <w:proofErr w:type="spellEnd"/>
            <w:r w:rsidRPr="005B75D4">
              <w:rPr>
                <w:rFonts w:cs="Arial"/>
                <w:b/>
                <w:sz w:val="20"/>
              </w:rPr>
              <w:t xml:space="preserve">ατικοί </w:t>
            </w:r>
            <w:proofErr w:type="spellStart"/>
            <w:r w:rsidRPr="005B75D4">
              <w:rPr>
                <w:rFonts w:cs="Arial"/>
                <w:b/>
                <w:sz w:val="20"/>
              </w:rPr>
              <w:t>Κίνδυνοι</w:t>
            </w:r>
            <w:proofErr w:type="spellEnd"/>
          </w:p>
          <w:p w:rsidR="00FC5294" w:rsidRPr="005B75D4" w:rsidRDefault="00FC5294" w:rsidP="00FC5294">
            <w:pPr>
              <w:numPr>
                <w:ilvl w:val="0"/>
                <w:numId w:val="8"/>
              </w:numPr>
              <w:spacing w:before="60"/>
              <w:jc w:val="both"/>
              <w:rPr>
                <w:rFonts w:cs="Arial"/>
                <w:sz w:val="20"/>
                <w:lang w:val="el-GR"/>
              </w:rPr>
            </w:pPr>
            <w:r w:rsidRPr="005B75D4">
              <w:rPr>
                <w:rFonts w:cs="Arial"/>
                <w:sz w:val="20"/>
                <w:lang w:val="el-GR"/>
              </w:rPr>
              <w:t xml:space="preserve">Ψυχοκοινωνικοί Κίνδυνοι στο χώρο εργασίας (άγχος, στρες, εξουθένωση, </w:t>
            </w:r>
            <w:proofErr w:type="spellStart"/>
            <w:r w:rsidRPr="005B75D4">
              <w:rPr>
                <w:rFonts w:cs="Arial"/>
                <w:sz w:val="20"/>
                <w:lang w:val="el-GR"/>
              </w:rPr>
              <w:t>μετατραυματικό</w:t>
            </w:r>
            <w:proofErr w:type="spellEnd"/>
            <w:r w:rsidRPr="005B75D4">
              <w:rPr>
                <w:rFonts w:cs="Arial"/>
                <w:sz w:val="20"/>
                <w:lang w:val="el-GR"/>
              </w:rPr>
              <w:t xml:space="preserve"> άγχος, παρενόχληση).</w:t>
            </w:r>
          </w:p>
          <w:p w:rsidR="00FC5294" w:rsidRPr="005B75D4" w:rsidRDefault="00FC5294" w:rsidP="00FC5294">
            <w:pPr>
              <w:numPr>
                <w:ilvl w:val="0"/>
                <w:numId w:val="8"/>
              </w:numPr>
              <w:spacing w:before="60"/>
              <w:ind w:left="714" w:hanging="357"/>
              <w:jc w:val="both"/>
              <w:rPr>
                <w:rFonts w:cs="Arial"/>
                <w:sz w:val="20"/>
                <w:lang w:val="el-GR"/>
              </w:rPr>
            </w:pPr>
            <w:r w:rsidRPr="005B75D4">
              <w:rPr>
                <w:rFonts w:cs="Arial"/>
                <w:sz w:val="20"/>
                <w:lang w:val="el-GR"/>
              </w:rPr>
              <w:t>Εργασιακό Άγχος (αιτίες, επιπτώσεις στο άτομο και στην επιχείρηση, εκτίμηση επικινδυνότητας εργασιακού άγχους).</w:t>
            </w:r>
          </w:p>
          <w:p w:rsidR="00FC5294" w:rsidRPr="005B75D4" w:rsidRDefault="00FC5294" w:rsidP="00FC5294">
            <w:pPr>
              <w:numPr>
                <w:ilvl w:val="0"/>
                <w:numId w:val="8"/>
              </w:numPr>
              <w:spacing w:before="60"/>
              <w:ind w:left="714" w:hanging="357"/>
              <w:jc w:val="both"/>
              <w:rPr>
                <w:rFonts w:cs="Arial"/>
                <w:sz w:val="20"/>
                <w:lang w:val="el-GR"/>
              </w:rPr>
            </w:pPr>
            <w:r w:rsidRPr="005B75D4">
              <w:rPr>
                <w:rFonts w:cs="Arial"/>
                <w:sz w:val="20"/>
                <w:lang w:val="el-GR"/>
              </w:rPr>
              <w:t xml:space="preserve">Επαγγελματική εξουθένωση (ορισμός, παράγοντες κινδύνου, εξουθένωση </w:t>
            </w:r>
            <w:r w:rsidRPr="005B75D4">
              <w:rPr>
                <w:rFonts w:cs="Arial"/>
                <w:sz w:val="20"/>
              </w:rPr>
              <w:t>Vs</w:t>
            </w:r>
            <w:r w:rsidRPr="005B75D4">
              <w:rPr>
                <w:rFonts w:cs="Arial"/>
                <w:sz w:val="20"/>
                <w:lang w:val="el-GR"/>
              </w:rPr>
              <w:t xml:space="preserve"> στρες, επιπτώσεις στο εργασιακό περιβάλλον).</w:t>
            </w:r>
          </w:p>
          <w:p w:rsidR="00FC5294" w:rsidRPr="005B75D4" w:rsidRDefault="00FC5294" w:rsidP="00FC5294">
            <w:pPr>
              <w:numPr>
                <w:ilvl w:val="0"/>
                <w:numId w:val="8"/>
              </w:numPr>
              <w:spacing w:before="60"/>
              <w:ind w:left="714" w:hanging="357"/>
              <w:jc w:val="both"/>
              <w:rPr>
                <w:rFonts w:cs="Arial"/>
                <w:sz w:val="20"/>
                <w:lang w:val="el-GR"/>
              </w:rPr>
            </w:pPr>
            <w:r w:rsidRPr="005B75D4">
              <w:rPr>
                <w:rFonts w:cs="Arial"/>
                <w:sz w:val="20"/>
                <w:lang w:val="el-GR"/>
              </w:rPr>
              <w:t>Παρενόχληση στο χώρο εργασίας (κατηγορίες, σημαντικές παράμετροι σχετικά με την παρενόχληση, ευθύνη του οργανισμού).</w:t>
            </w:r>
          </w:p>
          <w:p w:rsidR="00FC5294" w:rsidRPr="005B75D4" w:rsidRDefault="00FC5294" w:rsidP="00FC5294">
            <w:pPr>
              <w:numPr>
                <w:ilvl w:val="0"/>
                <w:numId w:val="8"/>
              </w:numPr>
              <w:spacing w:before="60"/>
              <w:ind w:left="714" w:hanging="357"/>
              <w:jc w:val="both"/>
              <w:rPr>
                <w:rFonts w:cs="Arial"/>
                <w:sz w:val="20"/>
                <w:lang w:val="el-GR"/>
              </w:rPr>
            </w:pPr>
            <w:proofErr w:type="spellStart"/>
            <w:r w:rsidRPr="005B75D4">
              <w:rPr>
                <w:rFonts w:cs="Arial"/>
                <w:sz w:val="20"/>
                <w:lang w:val="el-GR"/>
              </w:rPr>
              <w:t>Μετατραυματικό</w:t>
            </w:r>
            <w:proofErr w:type="spellEnd"/>
            <w:r w:rsidRPr="005B75D4">
              <w:rPr>
                <w:rFonts w:cs="Arial"/>
                <w:sz w:val="20"/>
                <w:lang w:val="el-GR"/>
              </w:rPr>
              <w:t xml:space="preserve"> στρες (ορισμός, επιπτώσεις, αντιμετώπιση).</w:t>
            </w:r>
          </w:p>
          <w:p w:rsidR="00FC5294" w:rsidRPr="005B75D4" w:rsidRDefault="00FC5294" w:rsidP="00FC5294">
            <w:pPr>
              <w:numPr>
                <w:ilvl w:val="0"/>
                <w:numId w:val="8"/>
              </w:numPr>
              <w:spacing w:before="60"/>
              <w:ind w:left="714" w:hanging="357"/>
              <w:jc w:val="both"/>
              <w:rPr>
                <w:rFonts w:cs="Arial"/>
                <w:sz w:val="20"/>
              </w:rPr>
            </w:pPr>
            <w:proofErr w:type="spellStart"/>
            <w:r w:rsidRPr="005B75D4">
              <w:rPr>
                <w:rFonts w:cs="Arial"/>
                <w:sz w:val="20"/>
              </w:rPr>
              <w:t>Σύνδρομο</w:t>
            </w:r>
            <w:proofErr w:type="spellEnd"/>
            <w:r w:rsidRPr="005B75D4">
              <w:rPr>
                <w:rFonts w:cs="Arial"/>
                <w:sz w:val="20"/>
              </w:rPr>
              <w:t xml:space="preserve"> “Mobbing” και </w:t>
            </w:r>
            <w:proofErr w:type="spellStart"/>
            <w:r w:rsidRPr="005B75D4">
              <w:rPr>
                <w:rFonts w:cs="Arial"/>
                <w:sz w:val="20"/>
              </w:rPr>
              <w:t>Σύνδρομο</w:t>
            </w:r>
            <w:proofErr w:type="spellEnd"/>
            <w:r w:rsidRPr="005B75D4">
              <w:rPr>
                <w:rFonts w:cs="Arial"/>
                <w:sz w:val="20"/>
              </w:rPr>
              <w:t xml:space="preserve"> “Burning Out”.</w:t>
            </w:r>
          </w:p>
          <w:p w:rsidR="00FC5294" w:rsidRPr="005B75D4" w:rsidRDefault="00FC5294" w:rsidP="00FC5294">
            <w:pPr>
              <w:numPr>
                <w:ilvl w:val="0"/>
                <w:numId w:val="8"/>
              </w:numPr>
              <w:spacing w:before="60"/>
              <w:ind w:left="714" w:hanging="357"/>
              <w:jc w:val="both"/>
              <w:rPr>
                <w:rFonts w:cs="Arial"/>
                <w:sz w:val="20"/>
                <w:lang w:val="el-GR"/>
              </w:rPr>
            </w:pPr>
            <w:proofErr w:type="spellStart"/>
            <w:r w:rsidRPr="005B75D4">
              <w:rPr>
                <w:rFonts w:cs="Arial"/>
                <w:sz w:val="20"/>
                <w:lang w:val="el-GR"/>
              </w:rPr>
              <w:t>Συμπεριφορικές</w:t>
            </w:r>
            <w:proofErr w:type="spellEnd"/>
            <w:r w:rsidRPr="005B75D4">
              <w:rPr>
                <w:rFonts w:cs="Arial"/>
                <w:sz w:val="20"/>
                <w:lang w:val="el-GR"/>
              </w:rPr>
              <w:t xml:space="preserve"> αντιδράσεις (κατάχρηση ουσιών/κατανάλωση αλκοόλ) και φυσιολογικές αντιδράσεις (πόνοι στην πλάτη, καρδιακά προβλήματα, έλκος).</w:t>
            </w:r>
          </w:p>
          <w:p w:rsidR="00FC5294" w:rsidRPr="005B75D4" w:rsidRDefault="00FC5294" w:rsidP="00FC5294">
            <w:pPr>
              <w:numPr>
                <w:ilvl w:val="0"/>
                <w:numId w:val="8"/>
              </w:numPr>
              <w:spacing w:before="60"/>
              <w:ind w:left="714" w:hanging="357"/>
              <w:jc w:val="both"/>
              <w:rPr>
                <w:rFonts w:cs="Arial"/>
                <w:sz w:val="20"/>
                <w:lang w:val="el-GR"/>
              </w:rPr>
            </w:pPr>
            <w:r w:rsidRPr="005B75D4">
              <w:rPr>
                <w:rFonts w:cs="Arial"/>
                <w:sz w:val="20"/>
                <w:lang w:val="el-GR"/>
              </w:rPr>
              <w:t xml:space="preserve">Διαχείριση κρίσης (ευθύνες εργοδότη, υποχρεώσεις </w:t>
            </w:r>
            <w:proofErr w:type="spellStart"/>
            <w:r w:rsidRPr="005B75D4">
              <w:rPr>
                <w:rFonts w:cs="Arial"/>
                <w:sz w:val="20"/>
                <w:lang w:val="el-GR"/>
              </w:rPr>
              <w:t>εργοδοτουμένων</w:t>
            </w:r>
            <w:proofErr w:type="spellEnd"/>
            <w:r w:rsidRPr="005B75D4">
              <w:rPr>
                <w:rFonts w:cs="Arial"/>
                <w:sz w:val="20"/>
                <w:lang w:val="el-GR"/>
              </w:rPr>
              <w:t>, στάδια αντιμετώπισης κρίσης και ψυχοσωματικών κινδύνων).</w:t>
            </w:r>
          </w:p>
          <w:p w:rsidR="00692E47" w:rsidRDefault="00FC5294" w:rsidP="00FC5294">
            <w:pPr>
              <w:numPr>
                <w:ilvl w:val="0"/>
                <w:numId w:val="8"/>
              </w:numPr>
              <w:spacing w:before="60"/>
              <w:ind w:hanging="357"/>
              <w:jc w:val="both"/>
              <w:rPr>
                <w:rFonts w:cs="Arial"/>
                <w:sz w:val="20"/>
                <w:lang w:val="el-GR"/>
              </w:rPr>
            </w:pPr>
            <w:proofErr w:type="spellStart"/>
            <w:r w:rsidRPr="005B75D4">
              <w:rPr>
                <w:rFonts w:cs="Arial"/>
                <w:sz w:val="20"/>
              </w:rPr>
              <w:t>Συμ</w:t>
            </w:r>
            <w:proofErr w:type="spellEnd"/>
            <w:r w:rsidRPr="005B75D4">
              <w:rPr>
                <w:rFonts w:cs="Arial"/>
                <w:sz w:val="20"/>
              </w:rPr>
              <w:t xml:space="preserve">περάσματα – </w:t>
            </w:r>
            <w:proofErr w:type="spellStart"/>
            <w:r w:rsidRPr="005B75D4">
              <w:rPr>
                <w:rFonts w:cs="Arial"/>
                <w:sz w:val="20"/>
              </w:rPr>
              <w:t>Συζήτηση</w:t>
            </w:r>
            <w:proofErr w:type="spellEnd"/>
            <w:r w:rsidRPr="005B75D4">
              <w:rPr>
                <w:rFonts w:cs="Arial"/>
                <w:sz w:val="20"/>
              </w:rPr>
              <w:t>.</w:t>
            </w:r>
          </w:p>
          <w:p w:rsidR="00FC5294" w:rsidRPr="00512C04" w:rsidRDefault="00FC5294" w:rsidP="00FC5294">
            <w:pPr>
              <w:spacing w:before="60"/>
              <w:ind w:left="363"/>
              <w:jc w:val="both"/>
              <w:rPr>
                <w:rFonts w:cs="Arial"/>
                <w:sz w:val="20"/>
                <w:lang w:val="el-GR"/>
              </w:rPr>
            </w:pPr>
          </w:p>
        </w:tc>
      </w:tr>
      <w:tr w:rsidR="00C60D6E" w:rsidRPr="00746D66" w:rsidTr="00C60D6E">
        <w:trPr>
          <w:trHeight w:val="356"/>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C60D6E" w:rsidRPr="00C60D6E" w:rsidRDefault="00746D66" w:rsidP="00947FA8">
            <w:pPr>
              <w:spacing w:before="120"/>
              <w:jc w:val="both"/>
              <w:rPr>
                <w:rFonts w:cs="Arial"/>
                <w:b/>
                <w:sz w:val="20"/>
                <w:lang w:val="el-GR"/>
              </w:rPr>
            </w:pPr>
            <w:r>
              <w:rPr>
                <w:rFonts w:cs="Arial"/>
                <w:b/>
                <w:sz w:val="20"/>
                <w:lang w:val="el-GR"/>
              </w:rPr>
              <w:t>Πέμπτη</w:t>
            </w:r>
            <w:r w:rsidR="00C60D6E">
              <w:rPr>
                <w:rFonts w:cs="Arial"/>
                <w:b/>
                <w:sz w:val="20"/>
                <w:lang w:val="el-GR"/>
              </w:rPr>
              <w:t xml:space="preserve"> </w:t>
            </w:r>
            <w:r w:rsidR="00947FA8">
              <w:rPr>
                <w:rFonts w:cs="Arial"/>
                <w:b/>
                <w:sz w:val="20"/>
                <w:lang w:val="en-US"/>
              </w:rPr>
              <w:t>30</w:t>
            </w:r>
            <w:r w:rsidR="00C60D6E">
              <w:rPr>
                <w:rFonts w:cs="Arial"/>
                <w:b/>
                <w:sz w:val="20"/>
                <w:lang w:val="el-GR"/>
              </w:rPr>
              <w:t>/</w:t>
            </w:r>
            <w:r w:rsidRPr="00746D66">
              <w:rPr>
                <w:rFonts w:cs="Arial"/>
                <w:b/>
                <w:sz w:val="20"/>
                <w:lang w:val="el-GR"/>
              </w:rPr>
              <w:t>3</w:t>
            </w:r>
            <w:r w:rsidR="00C60D6E">
              <w:rPr>
                <w:rFonts w:cs="Arial"/>
                <w:b/>
                <w:sz w:val="20"/>
                <w:lang w:val="el-GR"/>
              </w:rPr>
              <w:t>/2</w:t>
            </w:r>
            <w:r w:rsidR="00947FA8">
              <w:rPr>
                <w:rFonts w:cs="Arial"/>
                <w:b/>
                <w:sz w:val="20"/>
                <w:lang w:val="en-US"/>
              </w:rPr>
              <w:t>3</w:t>
            </w:r>
            <w:r w:rsidR="00C60D6E">
              <w:rPr>
                <w:rFonts w:cs="Arial"/>
                <w:b/>
                <w:sz w:val="20"/>
                <w:lang w:val="el-GR"/>
              </w:rPr>
              <w:t xml:space="preserve"> </w:t>
            </w:r>
          </w:p>
        </w:tc>
      </w:tr>
      <w:tr w:rsidR="00C60D6E" w:rsidRPr="00916B97" w:rsidTr="00C60D6E">
        <w:trPr>
          <w:trHeight w:val="278"/>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46D66" w:rsidRPr="005B75D4" w:rsidRDefault="00746D66" w:rsidP="00746D66">
            <w:pPr>
              <w:spacing w:before="120"/>
              <w:ind w:left="720"/>
              <w:jc w:val="both"/>
              <w:rPr>
                <w:rFonts w:cs="Arial"/>
                <w:b/>
                <w:sz w:val="20"/>
              </w:rPr>
            </w:pPr>
            <w:proofErr w:type="spellStart"/>
            <w:r w:rsidRPr="005B75D4">
              <w:rPr>
                <w:rFonts w:cs="Arial"/>
                <w:b/>
                <w:sz w:val="20"/>
              </w:rPr>
              <w:t>Εργονομί</w:t>
            </w:r>
            <w:proofErr w:type="spellEnd"/>
            <w:r w:rsidRPr="005B75D4">
              <w:rPr>
                <w:rFonts w:cs="Arial"/>
                <w:b/>
                <w:sz w:val="20"/>
              </w:rPr>
              <w:t xml:space="preserve">α – </w:t>
            </w:r>
            <w:proofErr w:type="spellStart"/>
            <w:r w:rsidRPr="005B75D4">
              <w:rPr>
                <w:rFonts w:cs="Arial"/>
                <w:b/>
                <w:sz w:val="20"/>
              </w:rPr>
              <w:t>Μυοσκελετικές</w:t>
            </w:r>
            <w:proofErr w:type="spellEnd"/>
            <w:r w:rsidRPr="005B75D4">
              <w:rPr>
                <w:rFonts w:cs="Arial"/>
                <w:b/>
                <w:sz w:val="20"/>
              </w:rPr>
              <w:t xml:space="preserve"> Πα</w:t>
            </w:r>
            <w:proofErr w:type="spellStart"/>
            <w:r w:rsidRPr="005B75D4">
              <w:rPr>
                <w:rFonts w:cs="Arial"/>
                <w:b/>
                <w:sz w:val="20"/>
              </w:rPr>
              <w:t>θήσεις</w:t>
            </w:r>
            <w:proofErr w:type="spellEnd"/>
          </w:p>
          <w:p w:rsidR="00746D66" w:rsidRPr="005B75D4" w:rsidRDefault="00746D66" w:rsidP="00746D66">
            <w:pPr>
              <w:numPr>
                <w:ilvl w:val="0"/>
                <w:numId w:val="8"/>
              </w:numPr>
              <w:spacing w:before="120"/>
              <w:jc w:val="both"/>
              <w:rPr>
                <w:rFonts w:cs="Arial"/>
                <w:sz w:val="20"/>
                <w:lang w:val="el-GR"/>
              </w:rPr>
            </w:pPr>
            <w:r w:rsidRPr="005B75D4">
              <w:rPr>
                <w:rFonts w:cs="Arial"/>
                <w:sz w:val="20"/>
                <w:lang w:val="el-GR"/>
              </w:rPr>
              <w:t xml:space="preserve">Τι είναι η εργονομία. Τι είναι οι </w:t>
            </w:r>
            <w:proofErr w:type="spellStart"/>
            <w:r w:rsidRPr="005B75D4">
              <w:rPr>
                <w:rFonts w:cs="Arial"/>
                <w:sz w:val="20"/>
                <w:lang w:val="el-GR"/>
              </w:rPr>
              <w:t>μυοσκελετικές</w:t>
            </w:r>
            <w:proofErr w:type="spellEnd"/>
            <w:r w:rsidRPr="005B75D4">
              <w:rPr>
                <w:rFonts w:cs="Arial"/>
                <w:sz w:val="20"/>
                <w:lang w:val="el-GR"/>
              </w:rPr>
              <w:t xml:space="preserve"> παθήσεις. Βασικές αρχές εργονομίας, σκοποί και στόχοι εργονομίας.</w:t>
            </w:r>
          </w:p>
          <w:p w:rsidR="00746D66" w:rsidRPr="005B75D4" w:rsidRDefault="00746D66" w:rsidP="00746D66">
            <w:pPr>
              <w:numPr>
                <w:ilvl w:val="0"/>
                <w:numId w:val="8"/>
              </w:numPr>
              <w:spacing w:before="60"/>
              <w:jc w:val="both"/>
              <w:rPr>
                <w:rFonts w:cs="Arial"/>
                <w:sz w:val="20"/>
                <w:lang w:val="el-GR"/>
              </w:rPr>
            </w:pPr>
            <w:r w:rsidRPr="005B75D4">
              <w:rPr>
                <w:rFonts w:cs="Arial"/>
                <w:sz w:val="20"/>
                <w:lang w:val="el-GR"/>
              </w:rPr>
              <w:t>Παράγοντες επαγγελματικού κινδύνου (π.χ. ΥΔΦ, επαναλαμβανόμενη εργασία κ.λπ.)</w:t>
            </w:r>
          </w:p>
          <w:p w:rsidR="00746D66" w:rsidRPr="005B75D4" w:rsidRDefault="00746D66" w:rsidP="00746D66">
            <w:pPr>
              <w:numPr>
                <w:ilvl w:val="0"/>
                <w:numId w:val="8"/>
              </w:numPr>
              <w:spacing w:before="60"/>
              <w:ind w:left="714" w:hanging="357"/>
              <w:jc w:val="both"/>
              <w:rPr>
                <w:rFonts w:cs="Arial"/>
                <w:sz w:val="20"/>
              </w:rPr>
            </w:pPr>
            <w:r w:rsidRPr="005B75D4">
              <w:rPr>
                <w:rFonts w:cs="Arial"/>
                <w:sz w:val="20"/>
                <w:lang w:val="el-GR"/>
              </w:rPr>
              <w:t xml:space="preserve">Φυσικά χαρακτηριστικά. Στάση σώματος. Δύναμη. Ταχύτητα/Επιτάχυνση. Επανάληψη. Διάρκεια. Χρόνος Ανάπαυσης. </w:t>
            </w:r>
            <w:proofErr w:type="spellStart"/>
            <w:r w:rsidRPr="005B75D4">
              <w:rPr>
                <w:rFonts w:cs="Arial"/>
                <w:sz w:val="20"/>
              </w:rPr>
              <w:t>Περιοδικές</w:t>
            </w:r>
            <w:proofErr w:type="spellEnd"/>
            <w:r w:rsidRPr="005B75D4">
              <w:rPr>
                <w:rFonts w:cs="Arial"/>
                <w:sz w:val="20"/>
              </w:rPr>
              <w:t xml:space="preserve"> </w:t>
            </w:r>
            <w:proofErr w:type="spellStart"/>
            <w:r w:rsidRPr="005B75D4">
              <w:rPr>
                <w:rFonts w:cs="Arial"/>
                <w:sz w:val="20"/>
              </w:rPr>
              <w:t>Δονήσεις</w:t>
            </w:r>
            <w:proofErr w:type="spellEnd"/>
            <w:r w:rsidRPr="005B75D4">
              <w:rPr>
                <w:rFonts w:cs="Arial"/>
                <w:sz w:val="20"/>
              </w:rPr>
              <w:t>.</w:t>
            </w:r>
          </w:p>
          <w:p w:rsidR="00746D66" w:rsidRPr="005B75D4" w:rsidRDefault="00746D66" w:rsidP="00746D66">
            <w:pPr>
              <w:numPr>
                <w:ilvl w:val="0"/>
                <w:numId w:val="8"/>
              </w:numPr>
              <w:spacing w:before="60"/>
              <w:ind w:left="714" w:hanging="357"/>
              <w:jc w:val="both"/>
              <w:rPr>
                <w:rFonts w:cs="Arial"/>
                <w:sz w:val="20"/>
                <w:lang w:val="el-GR"/>
              </w:rPr>
            </w:pPr>
            <w:r w:rsidRPr="005B75D4">
              <w:rPr>
                <w:rFonts w:cs="Arial"/>
                <w:sz w:val="20"/>
                <w:lang w:val="el-GR"/>
              </w:rPr>
              <w:t>Περιβαλλοντικά χαρακτηριστικά. Ολική σωματικής δόνησης. Φωτισμός. Θόρυβος (κλιματικές συνθήκες, ακτινοβολία).</w:t>
            </w:r>
          </w:p>
          <w:p w:rsidR="00746D66" w:rsidRPr="005B75D4" w:rsidRDefault="00746D66" w:rsidP="00746D66">
            <w:pPr>
              <w:numPr>
                <w:ilvl w:val="0"/>
                <w:numId w:val="8"/>
              </w:numPr>
              <w:spacing w:before="60"/>
              <w:ind w:left="714" w:hanging="357"/>
              <w:jc w:val="both"/>
              <w:rPr>
                <w:rFonts w:cs="Arial"/>
                <w:sz w:val="20"/>
              </w:rPr>
            </w:pPr>
            <w:r w:rsidRPr="005B75D4">
              <w:rPr>
                <w:rFonts w:cs="Arial"/>
                <w:sz w:val="20"/>
                <w:lang w:val="el-GR"/>
              </w:rPr>
              <w:t xml:space="preserve">Θέση σώματος κατά την εργασία. Όρθια και καθιστική στάση. Μείωση σωματικής καταπόνησης. </w:t>
            </w:r>
            <w:proofErr w:type="spellStart"/>
            <w:r w:rsidRPr="005B75D4">
              <w:rPr>
                <w:rFonts w:cs="Arial"/>
                <w:sz w:val="20"/>
              </w:rPr>
              <w:t>Μοντέλ</w:t>
            </w:r>
            <w:proofErr w:type="spellEnd"/>
            <w:r w:rsidRPr="005B75D4">
              <w:rPr>
                <w:rFonts w:cs="Arial"/>
                <w:sz w:val="20"/>
              </w:rPr>
              <w:t xml:space="preserve">α </w:t>
            </w:r>
            <w:proofErr w:type="spellStart"/>
            <w:r w:rsidRPr="005B75D4">
              <w:rPr>
                <w:rFonts w:cs="Arial"/>
                <w:sz w:val="20"/>
              </w:rPr>
              <w:t>εκτίμησης</w:t>
            </w:r>
            <w:proofErr w:type="spellEnd"/>
            <w:r w:rsidRPr="005B75D4">
              <w:rPr>
                <w:rFonts w:cs="Arial"/>
                <w:sz w:val="20"/>
              </w:rPr>
              <w:t xml:space="preserve"> </w:t>
            </w:r>
            <w:proofErr w:type="spellStart"/>
            <w:r w:rsidRPr="005B75D4">
              <w:rPr>
                <w:rFonts w:cs="Arial"/>
                <w:sz w:val="20"/>
              </w:rPr>
              <w:t>σωμ</w:t>
            </w:r>
            <w:proofErr w:type="spellEnd"/>
            <w:r w:rsidRPr="005B75D4">
              <w:rPr>
                <w:rFonts w:cs="Arial"/>
                <w:sz w:val="20"/>
              </w:rPr>
              <w:t>ατικών πα</w:t>
            </w:r>
            <w:proofErr w:type="spellStart"/>
            <w:r w:rsidRPr="005B75D4">
              <w:rPr>
                <w:rFonts w:cs="Arial"/>
                <w:sz w:val="20"/>
              </w:rPr>
              <w:t>θήσεων</w:t>
            </w:r>
            <w:proofErr w:type="spellEnd"/>
            <w:r w:rsidRPr="005B75D4">
              <w:rPr>
                <w:rFonts w:cs="Arial"/>
                <w:sz w:val="20"/>
              </w:rPr>
              <w:t>.</w:t>
            </w:r>
          </w:p>
          <w:p w:rsidR="00746D66" w:rsidRDefault="00746D66" w:rsidP="00746D66">
            <w:pPr>
              <w:numPr>
                <w:ilvl w:val="0"/>
                <w:numId w:val="8"/>
              </w:numPr>
              <w:spacing w:before="60"/>
              <w:ind w:hanging="357"/>
              <w:jc w:val="both"/>
              <w:rPr>
                <w:rFonts w:cs="Arial"/>
                <w:sz w:val="20"/>
                <w:lang w:val="el-GR"/>
              </w:rPr>
            </w:pPr>
            <w:r w:rsidRPr="005B75D4">
              <w:rPr>
                <w:rFonts w:cs="Arial"/>
                <w:sz w:val="20"/>
                <w:lang w:val="el-GR"/>
              </w:rPr>
              <w:t xml:space="preserve">Μέθοδος </w:t>
            </w:r>
            <w:r w:rsidRPr="005B75D4">
              <w:rPr>
                <w:rFonts w:cs="Arial"/>
                <w:sz w:val="20"/>
              </w:rPr>
              <w:t>McKenzie</w:t>
            </w:r>
            <w:r w:rsidRPr="005B75D4">
              <w:rPr>
                <w:rFonts w:cs="Arial"/>
                <w:sz w:val="20"/>
                <w:lang w:val="el-GR"/>
              </w:rPr>
              <w:t xml:space="preserve"> για την ελαχιστοποίηση της σωματικής καταπόνησης.</w:t>
            </w:r>
          </w:p>
          <w:p w:rsidR="00C60D6E" w:rsidRPr="00947FA8" w:rsidRDefault="00C60D6E" w:rsidP="00C60D6E">
            <w:pPr>
              <w:numPr>
                <w:ilvl w:val="0"/>
                <w:numId w:val="8"/>
              </w:numPr>
              <w:spacing w:before="60"/>
              <w:ind w:hanging="357"/>
              <w:jc w:val="both"/>
              <w:rPr>
                <w:rFonts w:cs="Arial"/>
                <w:b/>
                <w:sz w:val="20"/>
                <w:lang w:val="el-GR"/>
              </w:rPr>
            </w:pPr>
          </w:p>
        </w:tc>
      </w:tr>
    </w:tbl>
    <w:p w:rsidR="00A5476E" w:rsidRPr="00993E01" w:rsidRDefault="00C61121" w:rsidP="00284E2C">
      <w:pPr>
        <w:rPr>
          <w:rFonts w:cs="Arial"/>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margin">
                  <wp:posOffset>194310</wp:posOffset>
                </wp:positionH>
                <wp:positionV relativeFrom="margin">
                  <wp:posOffset>9303385</wp:posOffset>
                </wp:positionV>
                <wp:extent cx="5505450" cy="495300"/>
                <wp:effectExtent l="9525" t="9525" r="28575" b="28575"/>
                <wp:wrapSquare wrapText="bothSides"/>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953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35921" dir="2700000" algn="ctr" rotWithShape="0">
                            <a:srgbClr val="205867">
                              <a:alpha val="50000"/>
                            </a:srgbClr>
                          </a:outerShdw>
                        </a:effectLst>
                      </wps:spPr>
                      <wps:txbx>
                        <w:txbxContent>
                          <w:p w:rsidR="00A5476E" w:rsidRPr="00EB6233" w:rsidRDefault="00A5476E" w:rsidP="00EB6233">
                            <w:pPr>
                              <w:jc w:val="center"/>
                              <w:rPr>
                                <w:sz w:val="16"/>
                                <w:szCs w:val="16"/>
                                <w:lang w:val="el-GR"/>
                              </w:rPr>
                            </w:pPr>
                            <w:r w:rsidRPr="00EB6233">
                              <w:rPr>
                                <w:rFonts w:cs="Arial"/>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15.3pt;margin-top:732.55pt;width:433.5pt;height: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6ugIAALcFAAAOAAAAZHJzL2Uyb0RvYy54bWysVN1v2yAQf5+0/wHxvtpx4jax6lRZ0k6T&#10;ug+pnfZMMLbRMDAgsdu/fgckqbdmL9P8YAH39bv73d31zdAJtGfGciVLPLlIMWKSqorLpsTfHu/e&#10;zTGyjsiKCCVZiZ+YxTfLt2+ue12wTLVKVMwgcCJt0esSt87pIkksbVlH7IXSTIKwVqYjDq6mSSpD&#10;evDeiSRL08ukV6bSRlFmLbxuohAvg/+6ZtR9qWvLHBIlBmwu/E34b/0/WV6TojFEt5weYJB/QNER&#10;LiHoydWGOIJ2hr9y1XFqlFW1u6CqS1Rdc8pCDpDNJP0jm4eWaBZygeJYfSqT/X9u6ef9V4N4VeIp&#10;RpJ0QNEjGxx6rwY0D+XptS1A60GDnhvgHWgOqVp9r+gPi6Rat0Q2bGWM6ltGKoA38YVNRqaeEFtY&#10;72Tbf1IVxCE7p4KjoTadrx1UA4F3oOnpRI3HQuExz9N8loOIgmy2yKdpAJeQ4mitjXUfmOqQP5TY&#10;APXBO9nfW+fRkOKociCquuNCIKPcd+7aUGsfNggt2MQD0gryic/WNNu1MGhPoJsW2XqzWYc8gXY7&#10;1s5T+GKNxhab1e3t3fSsxcRbnDF5FQSyaI7gBJcICg/Vni+iPbKUCAZkxvqHdgxZenRCoh4k2dUx&#10;kBL8JPx7anas1nEH4yp4V+J5DBkGyLN+K6twdoSLeAasQvrILAzioaRqBy4e2qpHFfdETfNFNsFw&#10;gan02ODDiIgG1gl1Bp/l5ze0WZrPL68i10K3JNITOYi8H9RDD5zCh9sIWehW36CxVd2wHcDad+1W&#10;VU/Qt9AovhH8toNDq8wzRj1sjhLbnztiGEbio4ReWUxmM1Bz4TLLrzK4mLFkO5YQScFViR0kHY5r&#10;F9fTThvetBApTptUK5iXmodWfkF1mDLYDiGfwybz62d8D1ov+3b5CwAA//8DAFBLAwQUAAYACAAA&#10;ACEAd1GolOEAAAAMAQAADwAAAGRycy9kb3ducmV2LnhtbEyPTUvEMBCG74L/IYzgzU1ru91amy4i&#10;CAoiuCroLW1m22KT1CT98N87nvQ4z7y880y5X/XAZnS+t0ZAvImAoWms6k0r4PXl7iIH5oM0Sg7W&#10;oIBv9LCvTk9KWSi7mGecD6FlVGJ8IQV0IYwF577pUEu/sSMa2h2t0zLQ6FqunFyoXA/8MooyrmVv&#10;6EInR7ztsPk8TFrA/Jjrp7fd11HXLkmnj+V+fZDvQpyfrTfXwAKu4S8Mv/qkDhU51XYyyrNBQBJl&#10;lCSeZtsYGCXyqx2hmtA2TWLgVcn/P1H9AAAA//8DAFBLAQItABQABgAIAAAAIQC2gziS/gAAAOEB&#10;AAATAAAAAAAAAAAAAAAAAAAAAABbQ29udGVudF9UeXBlc10ueG1sUEsBAi0AFAAGAAgAAAAhADj9&#10;If/WAAAAlAEAAAsAAAAAAAAAAAAAAAAALwEAAF9yZWxzLy5yZWxzUEsBAi0AFAAGAAgAAAAhAP9Z&#10;GDq6AgAAtwUAAA4AAAAAAAAAAAAAAAAALgIAAGRycy9lMm9Eb2MueG1sUEsBAi0AFAAGAAgAAAAh&#10;AHdRqJThAAAADAEAAA8AAAAAAAAAAAAAAAAAFAUAAGRycy9kb3ducmV2LnhtbFBLBQYAAAAABAAE&#10;APMAAAAiBgAAAAA=&#10;" fillcolor="#92cddc" strokecolor="#92cddc" strokeweight="1pt">
                <v:fill color2="#daeef3" angle="135" focus="50%" type="gradient"/>
                <v:shadow on="t" color="#205867" opacity=".5"/>
                <v:textbox>
                  <w:txbxContent>
                    <w:p w:rsidR="00A5476E" w:rsidRPr="00EB6233" w:rsidRDefault="00A5476E" w:rsidP="00EB6233">
                      <w:pPr>
                        <w:jc w:val="center"/>
                        <w:rPr>
                          <w:sz w:val="16"/>
                          <w:szCs w:val="16"/>
                          <w:lang w:val="el-GR"/>
                        </w:rPr>
                      </w:pPr>
                      <w:r w:rsidRPr="00EB6233">
                        <w:rPr>
                          <w:rFonts w:cs="Arial"/>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mc:Fallback>
        </mc:AlternateContent>
      </w:r>
    </w:p>
    <w:sectPr w:rsidR="00A5476E" w:rsidRPr="00993E01"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AE" w:rsidRDefault="001C23AE">
      <w:r>
        <w:separator/>
      </w:r>
    </w:p>
  </w:endnote>
  <w:endnote w:type="continuationSeparator" w:id="0">
    <w:p w:rsidR="001C23AE" w:rsidRDefault="001C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AE" w:rsidRDefault="001C23AE">
      <w:r>
        <w:separator/>
      </w:r>
    </w:p>
  </w:footnote>
  <w:footnote w:type="continuationSeparator" w:id="0">
    <w:p w:rsidR="001C23AE" w:rsidRDefault="001C2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71092"/>
    <w:multiLevelType w:val="singleLevel"/>
    <w:tmpl w:val="34C60386"/>
    <w:lvl w:ilvl="0">
      <w:start w:val="1"/>
      <w:numFmt w:val="decimal"/>
      <w:lvlText w:val="%1."/>
      <w:lvlJc w:val="left"/>
      <w:pPr>
        <w:tabs>
          <w:tab w:val="num" w:pos="567"/>
        </w:tabs>
        <w:ind w:left="567" w:hanging="567"/>
      </w:pPr>
      <w:rPr>
        <w:b w:val="0"/>
        <w:i w:val="0"/>
      </w:rPr>
    </w:lvl>
  </w:abstractNum>
  <w:abstractNum w:abstractNumId="5"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4D71F88"/>
    <w:multiLevelType w:val="multilevel"/>
    <w:tmpl w:val="A60A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8"/>
  </w:num>
  <w:num w:numId="6">
    <w:abstractNumId w:val="7"/>
  </w:num>
  <w:num w:numId="7">
    <w:abstractNumId w:val="9"/>
  </w:num>
  <w:num w:numId="8">
    <w:abstractNumId w:val="3"/>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3F3F"/>
    <w:rsid w:val="000066A9"/>
    <w:rsid w:val="00010D38"/>
    <w:rsid w:val="000144D9"/>
    <w:rsid w:val="00014D6B"/>
    <w:rsid w:val="00015711"/>
    <w:rsid w:val="0001605F"/>
    <w:rsid w:val="00020B69"/>
    <w:rsid w:val="0002225F"/>
    <w:rsid w:val="00025BB8"/>
    <w:rsid w:val="00030841"/>
    <w:rsid w:val="00033361"/>
    <w:rsid w:val="00035B42"/>
    <w:rsid w:val="0003624A"/>
    <w:rsid w:val="00041B75"/>
    <w:rsid w:val="00041B80"/>
    <w:rsid w:val="00043151"/>
    <w:rsid w:val="0004479B"/>
    <w:rsid w:val="000460E1"/>
    <w:rsid w:val="000467CD"/>
    <w:rsid w:val="00051368"/>
    <w:rsid w:val="00056FC5"/>
    <w:rsid w:val="0006378F"/>
    <w:rsid w:val="00063CFF"/>
    <w:rsid w:val="000678B2"/>
    <w:rsid w:val="00072B58"/>
    <w:rsid w:val="00072CF1"/>
    <w:rsid w:val="00073578"/>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BAD"/>
    <w:rsid w:val="000A2CB8"/>
    <w:rsid w:val="000A4A4D"/>
    <w:rsid w:val="000A6291"/>
    <w:rsid w:val="000B0552"/>
    <w:rsid w:val="000B06E8"/>
    <w:rsid w:val="000B1A72"/>
    <w:rsid w:val="000B2C71"/>
    <w:rsid w:val="000B3A25"/>
    <w:rsid w:val="000C3003"/>
    <w:rsid w:val="000C4176"/>
    <w:rsid w:val="000C7E3B"/>
    <w:rsid w:val="000D045E"/>
    <w:rsid w:val="000D17C2"/>
    <w:rsid w:val="000D4A20"/>
    <w:rsid w:val="000D5890"/>
    <w:rsid w:val="000D5B3F"/>
    <w:rsid w:val="000D71B9"/>
    <w:rsid w:val="000D7905"/>
    <w:rsid w:val="000D7F4A"/>
    <w:rsid w:val="000E26D8"/>
    <w:rsid w:val="000E4B2A"/>
    <w:rsid w:val="000E753C"/>
    <w:rsid w:val="000E7F15"/>
    <w:rsid w:val="000F3A88"/>
    <w:rsid w:val="000F4240"/>
    <w:rsid w:val="000F5456"/>
    <w:rsid w:val="000F5BE8"/>
    <w:rsid w:val="000F62F4"/>
    <w:rsid w:val="000F68DC"/>
    <w:rsid w:val="000F6EBE"/>
    <w:rsid w:val="000F7051"/>
    <w:rsid w:val="00105985"/>
    <w:rsid w:val="001061BD"/>
    <w:rsid w:val="00106FAE"/>
    <w:rsid w:val="001070B8"/>
    <w:rsid w:val="00110761"/>
    <w:rsid w:val="001115FF"/>
    <w:rsid w:val="00115E02"/>
    <w:rsid w:val="00121673"/>
    <w:rsid w:val="00122D7B"/>
    <w:rsid w:val="001251B8"/>
    <w:rsid w:val="00131C86"/>
    <w:rsid w:val="00131F24"/>
    <w:rsid w:val="00142D59"/>
    <w:rsid w:val="00144A8D"/>
    <w:rsid w:val="001529CC"/>
    <w:rsid w:val="00155456"/>
    <w:rsid w:val="00155D58"/>
    <w:rsid w:val="00157FA5"/>
    <w:rsid w:val="00165535"/>
    <w:rsid w:val="00165C72"/>
    <w:rsid w:val="0016605D"/>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B6775"/>
    <w:rsid w:val="001C1EE5"/>
    <w:rsid w:val="001C23AE"/>
    <w:rsid w:val="001C2785"/>
    <w:rsid w:val="001C58A7"/>
    <w:rsid w:val="001C5E90"/>
    <w:rsid w:val="001C677F"/>
    <w:rsid w:val="001C707A"/>
    <w:rsid w:val="001C7CF3"/>
    <w:rsid w:val="001D2700"/>
    <w:rsid w:val="001D358E"/>
    <w:rsid w:val="001D46B2"/>
    <w:rsid w:val="001D5953"/>
    <w:rsid w:val="001D5E19"/>
    <w:rsid w:val="001D6B23"/>
    <w:rsid w:val="001D6F03"/>
    <w:rsid w:val="001E40CB"/>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7521"/>
    <w:rsid w:val="002075E2"/>
    <w:rsid w:val="00212550"/>
    <w:rsid w:val="00213233"/>
    <w:rsid w:val="00221ADB"/>
    <w:rsid w:val="00222C44"/>
    <w:rsid w:val="00224AF3"/>
    <w:rsid w:val="00225D11"/>
    <w:rsid w:val="00225F5B"/>
    <w:rsid w:val="00231556"/>
    <w:rsid w:val="00232267"/>
    <w:rsid w:val="002335F1"/>
    <w:rsid w:val="00233CD3"/>
    <w:rsid w:val="00233DD8"/>
    <w:rsid w:val="00234F07"/>
    <w:rsid w:val="00237D5A"/>
    <w:rsid w:val="002410AC"/>
    <w:rsid w:val="0024205A"/>
    <w:rsid w:val="00242AD5"/>
    <w:rsid w:val="002438E6"/>
    <w:rsid w:val="00243D00"/>
    <w:rsid w:val="00244971"/>
    <w:rsid w:val="00245004"/>
    <w:rsid w:val="0024790F"/>
    <w:rsid w:val="0025237E"/>
    <w:rsid w:val="002536E8"/>
    <w:rsid w:val="00254478"/>
    <w:rsid w:val="002550C1"/>
    <w:rsid w:val="00260068"/>
    <w:rsid w:val="00261882"/>
    <w:rsid w:val="0026211C"/>
    <w:rsid w:val="002621DB"/>
    <w:rsid w:val="00262690"/>
    <w:rsid w:val="0026317C"/>
    <w:rsid w:val="00264F07"/>
    <w:rsid w:val="00267E14"/>
    <w:rsid w:val="00272A5E"/>
    <w:rsid w:val="00273CEB"/>
    <w:rsid w:val="00274D8C"/>
    <w:rsid w:val="002768A0"/>
    <w:rsid w:val="00277E79"/>
    <w:rsid w:val="00280CB2"/>
    <w:rsid w:val="00283530"/>
    <w:rsid w:val="00283643"/>
    <w:rsid w:val="00283AB7"/>
    <w:rsid w:val="00284E2C"/>
    <w:rsid w:val="0028536E"/>
    <w:rsid w:val="00285CF3"/>
    <w:rsid w:val="00286460"/>
    <w:rsid w:val="0028723B"/>
    <w:rsid w:val="00287B12"/>
    <w:rsid w:val="00287B47"/>
    <w:rsid w:val="002910AC"/>
    <w:rsid w:val="002A119E"/>
    <w:rsid w:val="002A29C9"/>
    <w:rsid w:val="002A35C4"/>
    <w:rsid w:val="002A3737"/>
    <w:rsid w:val="002A4D7A"/>
    <w:rsid w:val="002A4FEF"/>
    <w:rsid w:val="002B07E0"/>
    <w:rsid w:val="002B10EF"/>
    <w:rsid w:val="002B1854"/>
    <w:rsid w:val="002B3BC9"/>
    <w:rsid w:val="002C183B"/>
    <w:rsid w:val="002C241F"/>
    <w:rsid w:val="002C25C9"/>
    <w:rsid w:val="002C2625"/>
    <w:rsid w:val="002C3A73"/>
    <w:rsid w:val="002C47BA"/>
    <w:rsid w:val="002C6557"/>
    <w:rsid w:val="002C748C"/>
    <w:rsid w:val="002D3095"/>
    <w:rsid w:val="002D4B61"/>
    <w:rsid w:val="002D78EA"/>
    <w:rsid w:val="002E2192"/>
    <w:rsid w:val="002E2988"/>
    <w:rsid w:val="002E3CD3"/>
    <w:rsid w:val="002E4CAB"/>
    <w:rsid w:val="002E6122"/>
    <w:rsid w:val="002E6A33"/>
    <w:rsid w:val="002E6E15"/>
    <w:rsid w:val="002E6E56"/>
    <w:rsid w:val="002F01ED"/>
    <w:rsid w:val="002F4E02"/>
    <w:rsid w:val="002F57A4"/>
    <w:rsid w:val="00300D34"/>
    <w:rsid w:val="00301DAA"/>
    <w:rsid w:val="003039FD"/>
    <w:rsid w:val="00303F08"/>
    <w:rsid w:val="00304524"/>
    <w:rsid w:val="00304648"/>
    <w:rsid w:val="00304B17"/>
    <w:rsid w:val="003076EC"/>
    <w:rsid w:val="003111EC"/>
    <w:rsid w:val="003116EB"/>
    <w:rsid w:val="00312061"/>
    <w:rsid w:val="00315D33"/>
    <w:rsid w:val="00317E1D"/>
    <w:rsid w:val="003200FE"/>
    <w:rsid w:val="00320706"/>
    <w:rsid w:val="00321077"/>
    <w:rsid w:val="003215B3"/>
    <w:rsid w:val="003219AA"/>
    <w:rsid w:val="003235F6"/>
    <w:rsid w:val="00324FF7"/>
    <w:rsid w:val="003272ED"/>
    <w:rsid w:val="00330DCA"/>
    <w:rsid w:val="00330E91"/>
    <w:rsid w:val="00331CF9"/>
    <w:rsid w:val="00333BBF"/>
    <w:rsid w:val="00340ADA"/>
    <w:rsid w:val="003413A5"/>
    <w:rsid w:val="00343256"/>
    <w:rsid w:val="00343DC0"/>
    <w:rsid w:val="0034464A"/>
    <w:rsid w:val="00346845"/>
    <w:rsid w:val="00347996"/>
    <w:rsid w:val="0035165D"/>
    <w:rsid w:val="00351A5C"/>
    <w:rsid w:val="00353A17"/>
    <w:rsid w:val="00353B55"/>
    <w:rsid w:val="0035516F"/>
    <w:rsid w:val="0035776D"/>
    <w:rsid w:val="0035799F"/>
    <w:rsid w:val="0036093E"/>
    <w:rsid w:val="00364C9F"/>
    <w:rsid w:val="00365595"/>
    <w:rsid w:val="00370B42"/>
    <w:rsid w:val="0037205D"/>
    <w:rsid w:val="003743DA"/>
    <w:rsid w:val="003749D2"/>
    <w:rsid w:val="003762B9"/>
    <w:rsid w:val="003767EA"/>
    <w:rsid w:val="00377576"/>
    <w:rsid w:val="00383036"/>
    <w:rsid w:val="003841CB"/>
    <w:rsid w:val="003847E1"/>
    <w:rsid w:val="003879D1"/>
    <w:rsid w:val="00391683"/>
    <w:rsid w:val="00391B8A"/>
    <w:rsid w:val="00391F8A"/>
    <w:rsid w:val="00392B53"/>
    <w:rsid w:val="00397D1D"/>
    <w:rsid w:val="00397ED4"/>
    <w:rsid w:val="003A0389"/>
    <w:rsid w:val="003A3A13"/>
    <w:rsid w:val="003A63C2"/>
    <w:rsid w:val="003A73A9"/>
    <w:rsid w:val="003B0D51"/>
    <w:rsid w:val="003B1A3D"/>
    <w:rsid w:val="003B1B6E"/>
    <w:rsid w:val="003B1CB6"/>
    <w:rsid w:val="003B2016"/>
    <w:rsid w:val="003B26E6"/>
    <w:rsid w:val="003B2F60"/>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57B7"/>
    <w:rsid w:val="003F7DBE"/>
    <w:rsid w:val="00405CFF"/>
    <w:rsid w:val="00406087"/>
    <w:rsid w:val="00406696"/>
    <w:rsid w:val="00410284"/>
    <w:rsid w:val="00410BF2"/>
    <w:rsid w:val="00411FE5"/>
    <w:rsid w:val="00415C95"/>
    <w:rsid w:val="00417374"/>
    <w:rsid w:val="00431169"/>
    <w:rsid w:val="00432205"/>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285B"/>
    <w:rsid w:val="004641F7"/>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5AFB"/>
    <w:rsid w:val="00497D66"/>
    <w:rsid w:val="004A08E4"/>
    <w:rsid w:val="004A1787"/>
    <w:rsid w:val="004A310E"/>
    <w:rsid w:val="004A3839"/>
    <w:rsid w:val="004A6AA0"/>
    <w:rsid w:val="004A6FBD"/>
    <w:rsid w:val="004A731C"/>
    <w:rsid w:val="004B1F78"/>
    <w:rsid w:val="004B306A"/>
    <w:rsid w:val="004C2FFD"/>
    <w:rsid w:val="004C3308"/>
    <w:rsid w:val="004C4971"/>
    <w:rsid w:val="004C6151"/>
    <w:rsid w:val="004C7377"/>
    <w:rsid w:val="004D3734"/>
    <w:rsid w:val="004D38E8"/>
    <w:rsid w:val="004D733D"/>
    <w:rsid w:val="004E039D"/>
    <w:rsid w:val="004E200C"/>
    <w:rsid w:val="004E221F"/>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1E3"/>
    <w:rsid w:val="00504589"/>
    <w:rsid w:val="00504BCC"/>
    <w:rsid w:val="005058A1"/>
    <w:rsid w:val="005100BF"/>
    <w:rsid w:val="00512C04"/>
    <w:rsid w:val="005161FE"/>
    <w:rsid w:val="00516DBC"/>
    <w:rsid w:val="00520DE2"/>
    <w:rsid w:val="0052459E"/>
    <w:rsid w:val="0052491A"/>
    <w:rsid w:val="005249AE"/>
    <w:rsid w:val="0052747E"/>
    <w:rsid w:val="00527521"/>
    <w:rsid w:val="00530265"/>
    <w:rsid w:val="00530A3A"/>
    <w:rsid w:val="005338E6"/>
    <w:rsid w:val="00537298"/>
    <w:rsid w:val="005372B0"/>
    <w:rsid w:val="00537D24"/>
    <w:rsid w:val="00542538"/>
    <w:rsid w:val="00551177"/>
    <w:rsid w:val="00551AC7"/>
    <w:rsid w:val="00552E99"/>
    <w:rsid w:val="0055503F"/>
    <w:rsid w:val="00555B74"/>
    <w:rsid w:val="005562BB"/>
    <w:rsid w:val="005579D2"/>
    <w:rsid w:val="005601B8"/>
    <w:rsid w:val="00562CEC"/>
    <w:rsid w:val="00562E78"/>
    <w:rsid w:val="0056371A"/>
    <w:rsid w:val="0056589F"/>
    <w:rsid w:val="00565F2F"/>
    <w:rsid w:val="00567145"/>
    <w:rsid w:val="00567D83"/>
    <w:rsid w:val="0057018A"/>
    <w:rsid w:val="00573034"/>
    <w:rsid w:val="00575CA2"/>
    <w:rsid w:val="005775E8"/>
    <w:rsid w:val="00583F71"/>
    <w:rsid w:val="00584C82"/>
    <w:rsid w:val="00586EA0"/>
    <w:rsid w:val="00593B53"/>
    <w:rsid w:val="005944D1"/>
    <w:rsid w:val="005A0BB4"/>
    <w:rsid w:val="005A1A13"/>
    <w:rsid w:val="005A2252"/>
    <w:rsid w:val="005A3BDD"/>
    <w:rsid w:val="005A4F72"/>
    <w:rsid w:val="005A70B3"/>
    <w:rsid w:val="005B11F6"/>
    <w:rsid w:val="005B1FEB"/>
    <w:rsid w:val="005B2EA7"/>
    <w:rsid w:val="005B3383"/>
    <w:rsid w:val="005B45F9"/>
    <w:rsid w:val="005B4BD9"/>
    <w:rsid w:val="005B75D4"/>
    <w:rsid w:val="005C0B09"/>
    <w:rsid w:val="005C3567"/>
    <w:rsid w:val="005D03F6"/>
    <w:rsid w:val="005D06D9"/>
    <w:rsid w:val="005D1239"/>
    <w:rsid w:val="005D1AF9"/>
    <w:rsid w:val="005D1FE9"/>
    <w:rsid w:val="005D40F2"/>
    <w:rsid w:val="005D41BE"/>
    <w:rsid w:val="005D496B"/>
    <w:rsid w:val="005D69BF"/>
    <w:rsid w:val="005E0A17"/>
    <w:rsid w:val="005E1FC9"/>
    <w:rsid w:val="005E38D1"/>
    <w:rsid w:val="005E422A"/>
    <w:rsid w:val="005E4777"/>
    <w:rsid w:val="005E5A7A"/>
    <w:rsid w:val="005E6E8A"/>
    <w:rsid w:val="005E7136"/>
    <w:rsid w:val="005F1C2C"/>
    <w:rsid w:val="005F37E3"/>
    <w:rsid w:val="005F44B4"/>
    <w:rsid w:val="005F4870"/>
    <w:rsid w:val="006077E6"/>
    <w:rsid w:val="00610E1C"/>
    <w:rsid w:val="00613572"/>
    <w:rsid w:val="00614F72"/>
    <w:rsid w:val="00625086"/>
    <w:rsid w:val="006273FF"/>
    <w:rsid w:val="00633C5B"/>
    <w:rsid w:val="00635F97"/>
    <w:rsid w:val="0064234B"/>
    <w:rsid w:val="00642859"/>
    <w:rsid w:val="00644B34"/>
    <w:rsid w:val="00645CAB"/>
    <w:rsid w:val="0065307D"/>
    <w:rsid w:val="0065598E"/>
    <w:rsid w:val="00655B63"/>
    <w:rsid w:val="006561EF"/>
    <w:rsid w:val="00656C52"/>
    <w:rsid w:val="00662E7D"/>
    <w:rsid w:val="00664CF5"/>
    <w:rsid w:val="00677E07"/>
    <w:rsid w:val="00681896"/>
    <w:rsid w:val="00682270"/>
    <w:rsid w:val="00683EB1"/>
    <w:rsid w:val="00684208"/>
    <w:rsid w:val="00686A75"/>
    <w:rsid w:val="00692906"/>
    <w:rsid w:val="00692E47"/>
    <w:rsid w:val="00693796"/>
    <w:rsid w:val="006971B2"/>
    <w:rsid w:val="006A1C4E"/>
    <w:rsid w:val="006A4CAB"/>
    <w:rsid w:val="006B1145"/>
    <w:rsid w:val="006B12F7"/>
    <w:rsid w:val="006B5E2E"/>
    <w:rsid w:val="006B60E0"/>
    <w:rsid w:val="006C0365"/>
    <w:rsid w:val="006C381A"/>
    <w:rsid w:val="006D0ABD"/>
    <w:rsid w:val="006D16A1"/>
    <w:rsid w:val="006D2B1D"/>
    <w:rsid w:val="006D79FC"/>
    <w:rsid w:val="006E06C2"/>
    <w:rsid w:val="006E1377"/>
    <w:rsid w:val="006E2CE2"/>
    <w:rsid w:val="006E63E6"/>
    <w:rsid w:val="006F36C1"/>
    <w:rsid w:val="006F3AB8"/>
    <w:rsid w:val="006F5148"/>
    <w:rsid w:val="006F6E4F"/>
    <w:rsid w:val="0070040C"/>
    <w:rsid w:val="00700E97"/>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46A1"/>
    <w:rsid w:val="00744D4C"/>
    <w:rsid w:val="00746D66"/>
    <w:rsid w:val="007502AF"/>
    <w:rsid w:val="00751D2B"/>
    <w:rsid w:val="0075238B"/>
    <w:rsid w:val="00752FBD"/>
    <w:rsid w:val="00753B01"/>
    <w:rsid w:val="0075490C"/>
    <w:rsid w:val="00756AFD"/>
    <w:rsid w:val="00757DC7"/>
    <w:rsid w:val="00767F00"/>
    <w:rsid w:val="00770ABA"/>
    <w:rsid w:val="00772238"/>
    <w:rsid w:val="007725D7"/>
    <w:rsid w:val="0077376A"/>
    <w:rsid w:val="007747B4"/>
    <w:rsid w:val="00775B80"/>
    <w:rsid w:val="00777CAA"/>
    <w:rsid w:val="00780439"/>
    <w:rsid w:val="00781E46"/>
    <w:rsid w:val="00782252"/>
    <w:rsid w:val="00782864"/>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0F94"/>
    <w:rsid w:val="007D256E"/>
    <w:rsid w:val="007D2B4F"/>
    <w:rsid w:val="007D3B1C"/>
    <w:rsid w:val="007D646D"/>
    <w:rsid w:val="007E0B0B"/>
    <w:rsid w:val="007E1611"/>
    <w:rsid w:val="007E1C0E"/>
    <w:rsid w:val="007E1D00"/>
    <w:rsid w:val="007E50E0"/>
    <w:rsid w:val="007E6465"/>
    <w:rsid w:val="007E6DBB"/>
    <w:rsid w:val="007F1A5E"/>
    <w:rsid w:val="007F2453"/>
    <w:rsid w:val="007F392F"/>
    <w:rsid w:val="007F3D01"/>
    <w:rsid w:val="007F5DC5"/>
    <w:rsid w:val="007F6C2A"/>
    <w:rsid w:val="007F6C80"/>
    <w:rsid w:val="007F73BF"/>
    <w:rsid w:val="007F77EF"/>
    <w:rsid w:val="00800BE0"/>
    <w:rsid w:val="008017AC"/>
    <w:rsid w:val="00811B5C"/>
    <w:rsid w:val="00812193"/>
    <w:rsid w:val="00814290"/>
    <w:rsid w:val="00821586"/>
    <w:rsid w:val="00821E1B"/>
    <w:rsid w:val="00824757"/>
    <w:rsid w:val="008258AD"/>
    <w:rsid w:val="0083158F"/>
    <w:rsid w:val="008340F8"/>
    <w:rsid w:val="00834D42"/>
    <w:rsid w:val="008374A8"/>
    <w:rsid w:val="00840816"/>
    <w:rsid w:val="008421A7"/>
    <w:rsid w:val="008437EE"/>
    <w:rsid w:val="00845830"/>
    <w:rsid w:val="008461DA"/>
    <w:rsid w:val="008513FF"/>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C5F"/>
    <w:rsid w:val="008E4315"/>
    <w:rsid w:val="008F218F"/>
    <w:rsid w:val="008F51EF"/>
    <w:rsid w:val="008F7F16"/>
    <w:rsid w:val="008F7F5B"/>
    <w:rsid w:val="00900F22"/>
    <w:rsid w:val="009014F7"/>
    <w:rsid w:val="009016E7"/>
    <w:rsid w:val="00904916"/>
    <w:rsid w:val="00905E86"/>
    <w:rsid w:val="0090788A"/>
    <w:rsid w:val="00907F24"/>
    <w:rsid w:val="00907FCC"/>
    <w:rsid w:val="009153BB"/>
    <w:rsid w:val="00916B97"/>
    <w:rsid w:val="009205B6"/>
    <w:rsid w:val="00920DD1"/>
    <w:rsid w:val="00922CB4"/>
    <w:rsid w:val="009259A2"/>
    <w:rsid w:val="009263C3"/>
    <w:rsid w:val="00927525"/>
    <w:rsid w:val="00927E5A"/>
    <w:rsid w:val="00942FDE"/>
    <w:rsid w:val="009436BF"/>
    <w:rsid w:val="009439C8"/>
    <w:rsid w:val="00944A05"/>
    <w:rsid w:val="0094551A"/>
    <w:rsid w:val="009455C9"/>
    <w:rsid w:val="0094650A"/>
    <w:rsid w:val="009474BB"/>
    <w:rsid w:val="00947BB5"/>
    <w:rsid w:val="00947FA8"/>
    <w:rsid w:val="00952958"/>
    <w:rsid w:val="00953460"/>
    <w:rsid w:val="0095747C"/>
    <w:rsid w:val="009661D6"/>
    <w:rsid w:val="00967635"/>
    <w:rsid w:val="00967EB9"/>
    <w:rsid w:val="0097001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0FDA"/>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2A40"/>
    <w:rsid w:val="00A0347C"/>
    <w:rsid w:val="00A047EC"/>
    <w:rsid w:val="00A07388"/>
    <w:rsid w:val="00A0791B"/>
    <w:rsid w:val="00A100A5"/>
    <w:rsid w:val="00A10C56"/>
    <w:rsid w:val="00A14D46"/>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C9E"/>
    <w:rsid w:val="00A41E8F"/>
    <w:rsid w:val="00A46A1D"/>
    <w:rsid w:val="00A47207"/>
    <w:rsid w:val="00A5023C"/>
    <w:rsid w:val="00A518CB"/>
    <w:rsid w:val="00A51922"/>
    <w:rsid w:val="00A52BD4"/>
    <w:rsid w:val="00A539AA"/>
    <w:rsid w:val="00A5476E"/>
    <w:rsid w:val="00A55722"/>
    <w:rsid w:val="00A562A3"/>
    <w:rsid w:val="00A57354"/>
    <w:rsid w:val="00A60078"/>
    <w:rsid w:val="00A61C6E"/>
    <w:rsid w:val="00A63067"/>
    <w:rsid w:val="00A649D0"/>
    <w:rsid w:val="00A655C5"/>
    <w:rsid w:val="00A66F5C"/>
    <w:rsid w:val="00A675F5"/>
    <w:rsid w:val="00A71AE1"/>
    <w:rsid w:val="00A75FCA"/>
    <w:rsid w:val="00A8099A"/>
    <w:rsid w:val="00A80C86"/>
    <w:rsid w:val="00A81076"/>
    <w:rsid w:val="00A81A50"/>
    <w:rsid w:val="00A82790"/>
    <w:rsid w:val="00A87390"/>
    <w:rsid w:val="00A9088D"/>
    <w:rsid w:val="00A949A5"/>
    <w:rsid w:val="00A971E9"/>
    <w:rsid w:val="00A9732C"/>
    <w:rsid w:val="00A97CC2"/>
    <w:rsid w:val="00AA04A8"/>
    <w:rsid w:val="00AA74D9"/>
    <w:rsid w:val="00AA76BA"/>
    <w:rsid w:val="00AB1BF7"/>
    <w:rsid w:val="00AB2055"/>
    <w:rsid w:val="00AB591C"/>
    <w:rsid w:val="00AB62E4"/>
    <w:rsid w:val="00AB63E9"/>
    <w:rsid w:val="00AB730F"/>
    <w:rsid w:val="00AB7546"/>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B001D0"/>
    <w:rsid w:val="00B016A1"/>
    <w:rsid w:val="00B0191D"/>
    <w:rsid w:val="00B05C13"/>
    <w:rsid w:val="00B108D0"/>
    <w:rsid w:val="00B11619"/>
    <w:rsid w:val="00B13683"/>
    <w:rsid w:val="00B14A64"/>
    <w:rsid w:val="00B16101"/>
    <w:rsid w:val="00B24152"/>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2A85"/>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4718"/>
    <w:rsid w:val="00B97683"/>
    <w:rsid w:val="00BA04A3"/>
    <w:rsid w:val="00BA40BB"/>
    <w:rsid w:val="00BB1A76"/>
    <w:rsid w:val="00BB2E58"/>
    <w:rsid w:val="00BC2FAA"/>
    <w:rsid w:val="00BC4D5D"/>
    <w:rsid w:val="00BC548F"/>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2FA5"/>
    <w:rsid w:val="00C24590"/>
    <w:rsid w:val="00C25C5C"/>
    <w:rsid w:val="00C315DF"/>
    <w:rsid w:val="00C331F8"/>
    <w:rsid w:val="00C33BD4"/>
    <w:rsid w:val="00C34113"/>
    <w:rsid w:val="00C3613C"/>
    <w:rsid w:val="00C402E7"/>
    <w:rsid w:val="00C42F48"/>
    <w:rsid w:val="00C44AC2"/>
    <w:rsid w:val="00C45B0B"/>
    <w:rsid w:val="00C45BA0"/>
    <w:rsid w:val="00C47387"/>
    <w:rsid w:val="00C473F3"/>
    <w:rsid w:val="00C53C02"/>
    <w:rsid w:val="00C54B40"/>
    <w:rsid w:val="00C563C1"/>
    <w:rsid w:val="00C57630"/>
    <w:rsid w:val="00C60D6E"/>
    <w:rsid w:val="00C61121"/>
    <w:rsid w:val="00C65FE5"/>
    <w:rsid w:val="00C668BF"/>
    <w:rsid w:val="00C71B92"/>
    <w:rsid w:val="00C72BDC"/>
    <w:rsid w:val="00C7319F"/>
    <w:rsid w:val="00C73235"/>
    <w:rsid w:val="00C76393"/>
    <w:rsid w:val="00C76A96"/>
    <w:rsid w:val="00C80A91"/>
    <w:rsid w:val="00C816E2"/>
    <w:rsid w:val="00C90193"/>
    <w:rsid w:val="00C90BC2"/>
    <w:rsid w:val="00C90E30"/>
    <w:rsid w:val="00C90F58"/>
    <w:rsid w:val="00C92C27"/>
    <w:rsid w:val="00C94046"/>
    <w:rsid w:val="00C94DC0"/>
    <w:rsid w:val="00CA0CA4"/>
    <w:rsid w:val="00CA1723"/>
    <w:rsid w:val="00CA201E"/>
    <w:rsid w:val="00CA25BC"/>
    <w:rsid w:val="00CA3168"/>
    <w:rsid w:val="00CA45AB"/>
    <w:rsid w:val="00CA7BFC"/>
    <w:rsid w:val="00CA7D0F"/>
    <w:rsid w:val="00CB679E"/>
    <w:rsid w:val="00CC2D90"/>
    <w:rsid w:val="00CC6FF1"/>
    <w:rsid w:val="00CD0DC7"/>
    <w:rsid w:val="00CD141B"/>
    <w:rsid w:val="00CD4E60"/>
    <w:rsid w:val="00CD5BB8"/>
    <w:rsid w:val="00CD68B4"/>
    <w:rsid w:val="00CD6D8B"/>
    <w:rsid w:val="00CD6EB4"/>
    <w:rsid w:val="00CD743C"/>
    <w:rsid w:val="00CD7CE1"/>
    <w:rsid w:val="00CD7D2B"/>
    <w:rsid w:val="00CE3020"/>
    <w:rsid w:val="00CF0214"/>
    <w:rsid w:val="00CF2156"/>
    <w:rsid w:val="00CF30E4"/>
    <w:rsid w:val="00CF75A0"/>
    <w:rsid w:val="00D01FD7"/>
    <w:rsid w:val="00D06888"/>
    <w:rsid w:val="00D07E17"/>
    <w:rsid w:val="00D10270"/>
    <w:rsid w:val="00D10843"/>
    <w:rsid w:val="00D148EA"/>
    <w:rsid w:val="00D15B02"/>
    <w:rsid w:val="00D201DF"/>
    <w:rsid w:val="00D235A4"/>
    <w:rsid w:val="00D25D48"/>
    <w:rsid w:val="00D2682F"/>
    <w:rsid w:val="00D270C3"/>
    <w:rsid w:val="00D27C3C"/>
    <w:rsid w:val="00D37B3E"/>
    <w:rsid w:val="00D417C4"/>
    <w:rsid w:val="00D417E0"/>
    <w:rsid w:val="00D44C2D"/>
    <w:rsid w:val="00D4621C"/>
    <w:rsid w:val="00D5165C"/>
    <w:rsid w:val="00D55A4C"/>
    <w:rsid w:val="00D60784"/>
    <w:rsid w:val="00D61B39"/>
    <w:rsid w:val="00D635BE"/>
    <w:rsid w:val="00D64DC4"/>
    <w:rsid w:val="00D64FAE"/>
    <w:rsid w:val="00D65D9F"/>
    <w:rsid w:val="00D67268"/>
    <w:rsid w:val="00D673CC"/>
    <w:rsid w:val="00D70019"/>
    <w:rsid w:val="00D70184"/>
    <w:rsid w:val="00D71B84"/>
    <w:rsid w:val="00D72DDC"/>
    <w:rsid w:val="00D74487"/>
    <w:rsid w:val="00D7459E"/>
    <w:rsid w:val="00D74FF5"/>
    <w:rsid w:val="00D75EBF"/>
    <w:rsid w:val="00D7777C"/>
    <w:rsid w:val="00D77B80"/>
    <w:rsid w:val="00D80847"/>
    <w:rsid w:val="00D81991"/>
    <w:rsid w:val="00D83341"/>
    <w:rsid w:val="00D84315"/>
    <w:rsid w:val="00D8490A"/>
    <w:rsid w:val="00D8599C"/>
    <w:rsid w:val="00D85C2C"/>
    <w:rsid w:val="00D86961"/>
    <w:rsid w:val="00D8731B"/>
    <w:rsid w:val="00D91CD6"/>
    <w:rsid w:val="00D92F8D"/>
    <w:rsid w:val="00D93A74"/>
    <w:rsid w:val="00D941BF"/>
    <w:rsid w:val="00D962C9"/>
    <w:rsid w:val="00D97723"/>
    <w:rsid w:val="00DA0DF3"/>
    <w:rsid w:val="00DB1194"/>
    <w:rsid w:val="00DB2756"/>
    <w:rsid w:val="00DB539C"/>
    <w:rsid w:val="00DB6EE4"/>
    <w:rsid w:val="00DB7286"/>
    <w:rsid w:val="00DC1304"/>
    <w:rsid w:val="00DC17B3"/>
    <w:rsid w:val="00DC1CD4"/>
    <w:rsid w:val="00DC2EE7"/>
    <w:rsid w:val="00DC418D"/>
    <w:rsid w:val="00DC5A3B"/>
    <w:rsid w:val="00DC7DD1"/>
    <w:rsid w:val="00DD0402"/>
    <w:rsid w:val="00DD0D50"/>
    <w:rsid w:val="00DD269C"/>
    <w:rsid w:val="00DD665D"/>
    <w:rsid w:val="00DD6FEF"/>
    <w:rsid w:val="00DD782A"/>
    <w:rsid w:val="00DE1765"/>
    <w:rsid w:val="00DE26D9"/>
    <w:rsid w:val="00DE312A"/>
    <w:rsid w:val="00DE3AB5"/>
    <w:rsid w:val="00DE5616"/>
    <w:rsid w:val="00DE5E79"/>
    <w:rsid w:val="00DE6106"/>
    <w:rsid w:val="00DE642B"/>
    <w:rsid w:val="00DE6544"/>
    <w:rsid w:val="00DE7689"/>
    <w:rsid w:val="00DE7F9D"/>
    <w:rsid w:val="00DF5B51"/>
    <w:rsid w:val="00DF71D5"/>
    <w:rsid w:val="00E000F2"/>
    <w:rsid w:val="00E00588"/>
    <w:rsid w:val="00E00AE6"/>
    <w:rsid w:val="00E03EC9"/>
    <w:rsid w:val="00E03F3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6978"/>
    <w:rsid w:val="00E67873"/>
    <w:rsid w:val="00E70FCC"/>
    <w:rsid w:val="00E72BFD"/>
    <w:rsid w:val="00E72D63"/>
    <w:rsid w:val="00E841D0"/>
    <w:rsid w:val="00E93075"/>
    <w:rsid w:val="00E9481F"/>
    <w:rsid w:val="00E9519E"/>
    <w:rsid w:val="00E952AD"/>
    <w:rsid w:val="00E967EF"/>
    <w:rsid w:val="00EA1F21"/>
    <w:rsid w:val="00EA214E"/>
    <w:rsid w:val="00EA678C"/>
    <w:rsid w:val="00EB15CE"/>
    <w:rsid w:val="00EB1751"/>
    <w:rsid w:val="00EB20C5"/>
    <w:rsid w:val="00EB333C"/>
    <w:rsid w:val="00EB3FFE"/>
    <w:rsid w:val="00EB4397"/>
    <w:rsid w:val="00EB4852"/>
    <w:rsid w:val="00EB493B"/>
    <w:rsid w:val="00EB571B"/>
    <w:rsid w:val="00EB6233"/>
    <w:rsid w:val="00EB6C6E"/>
    <w:rsid w:val="00EC11A5"/>
    <w:rsid w:val="00EC2050"/>
    <w:rsid w:val="00EC434C"/>
    <w:rsid w:val="00EC5098"/>
    <w:rsid w:val="00EC5152"/>
    <w:rsid w:val="00EC7BCF"/>
    <w:rsid w:val="00ED00A2"/>
    <w:rsid w:val="00ED4930"/>
    <w:rsid w:val="00ED69BA"/>
    <w:rsid w:val="00ED7745"/>
    <w:rsid w:val="00ED7F31"/>
    <w:rsid w:val="00EE1BE8"/>
    <w:rsid w:val="00EE5DC8"/>
    <w:rsid w:val="00EF0983"/>
    <w:rsid w:val="00EF1B9F"/>
    <w:rsid w:val="00EF2338"/>
    <w:rsid w:val="00EF3281"/>
    <w:rsid w:val="00EF7FA5"/>
    <w:rsid w:val="00F01030"/>
    <w:rsid w:val="00F018CF"/>
    <w:rsid w:val="00F04024"/>
    <w:rsid w:val="00F05014"/>
    <w:rsid w:val="00F07D55"/>
    <w:rsid w:val="00F101AE"/>
    <w:rsid w:val="00F13ABE"/>
    <w:rsid w:val="00F14067"/>
    <w:rsid w:val="00F16CD0"/>
    <w:rsid w:val="00F2354E"/>
    <w:rsid w:val="00F2383E"/>
    <w:rsid w:val="00F23EFB"/>
    <w:rsid w:val="00F242C2"/>
    <w:rsid w:val="00F2616E"/>
    <w:rsid w:val="00F26755"/>
    <w:rsid w:val="00F268CE"/>
    <w:rsid w:val="00F27612"/>
    <w:rsid w:val="00F30AF9"/>
    <w:rsid w:val="00F31EA3"/>
    <w:rsid w:val="00F34729"/>
    <w:rsid w:val="00F3582A"/>
    <w:rsid w:val="00F37896"/>
    <w:rsid w:val="00F43FA8"/>
    <w:rsid w:val="00F46014"/>
    <w:rsid w:val="00F47C2F"/>
    <w:rsid w:val="00F47E80"/>
    <w:rsid w:val="00F52832"/>
    <w:rsid w:val="00F60478"/>
    <w:rsid w:val="00F615E3"/>
    <w:rsid w:val="00F653D4"/>
    <w:rsid w:val="00F71BCE"/>
    <w:rsid w:val="00F7365E"/>
    <w:rsid w:val="00F73CD4"/>
    <w:rsid w:val="00F75945"/>
    <w:rsid w:val="00F759E6"/>
    <w:rsid w:val="00F76904"/>
    <w:rsid w:val="00F8115D"/>
    <w:rsid w:val="00F83A21"/>
    <w:rsid w:val="00F83EDF"/>
    <w:rsid w:val="00F84B34"/>
    <w:rsid w:val="00F85013"/>
    <w:rsid w:val="00F85CD2"/>
    <w:rsid w:val="00F85F2B"/>
    <w:rsid w:val="00F8605C"/>
    <w:rsid w:val="00F86C6A"/>
    <w:rsid w:val="00F87C64"/>
    <w:rsid w:val="00F93EFF"/>
    <w:rsid w:val="00FA1E3F"/>
    <w:rsid w:val="00FA2BA7"/>
    <w:rsid w:val="00FA4B7D"/>
    <w:rsid w:val="00FA4B8E"/>
    <w:rsid w:val="00FA59B3"/>
    <w:rsid w:val="00FA5CDD"/>
    <w:rsid w:val="00FA6109"/>
    <w:rsid w:val="00FA7C72"/>
    <w:rsid w:val="00FA7DD5"/>
    <w:rsid w:val="00FB0FB2"/>
    <w:rsid w:val="00FB2153"/>
    <w:rsid w:val="00FB3A06"/>
    <w:rsid w:val="00FB468D"/>
    <w:rsid w:val="00FB6B87"/>
    <w:rsid w:val="00FC0490"/>
    <w:rsid w:val="00FC277E"/>
    <w:rsid w:val="00FC300A"/>
    <w:rsid w:val="00FC38B8"/>
    <w:rsid w:val="00FC3F61"/>
    <w:rsid w:val="00FC4D5D"/>
    <w:rsid w:val="00FC5294"/>
    <w:rsid w:val="00FC6CAF"/>
    <w:rsid w:val="00FD03BD"/>
    <w:rsid w:val="00FD331A"/>
    <w:rsid w:val="00FD439B"/>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34FE3"/>
  <w15:docId w15:val="{0543C8D0-AF1A-4E9F-9BC2-2EB79E09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83972-55EA-4FE8-BC17-302804D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4501</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3</cp:revision>
  <cp:lastPrinted>2019-01-10T08:52:00Z</cp:lastPrinted>
  <dcterms:created xsi:type="dcterms:W3CDTF">2023-01-11T10:40:00Z</dcterms:created>
  <dcterms:modified xsi:type="dcterms:W3CDTF">2023-01-11T11:24:00Z</dcterms:modified>
</cp:coreProperties>
</file>